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634969" w14:textId="77777777" w:rsidR="00A2118D" w:rsidRPr="00A2118D" w:rsidRDefault="00A2118D" w:rsidP="00A2118D">
      <w:pPr>
        <w:pStyle w:val="Sinespaciado"/>
        <w:rPr>
          <w:rFonts w:ascii="Arial" w:hAnsi="Arial" w:cs="Arial"/>
          <w:b w:val="0"/>
          <w:bCs/>
        </w:rPr>
      </w:pPr>
      <w:r w:rsidRPr="00A2118D">
        <w:rPr>
          <w:rFonts w:ascii="Arial" w:hAnsi="Arial" w:cs="Arial"/>
          <w:b w:val="0"/>
          <w:bCs/>
        </w:rPr>
        <w:t xml:space="preserve">Bucaramanga, </w:t>
      </w:r>
    </w:p>
    <w:p w14:paraId="6D0414D6" w14:textId="77777777" w:rsidR="00A2118D" w:rsidRPr="00A2118D" w:rsidRDefault="00A2118D" w:rsidP="00A2118D">
      <w:pPr>
        <w:pStyle w:val="Sinespaciado"/>
        <w:rPr>
          <w:rFonts w:ascii="Arial" w:hAnsi="Arial" w:cs="Arial"/>
          <w:b w:val="0"/>
          <w:bCs/>
        </w:rPr>
      </w:pPr>
    </w:p>
    <w:p w14:paraId="316FDDB3" w14:textId="77777777" w:rsidR="00A2118D" w:rsidRPr="00A2118D" w:rsidRDefault="00A2118D" w:rsidP="00A2118D">
      <w:pPr>
        <w:pStyle w:val="Sinespaciado"/>
        <w:rPr>
          <w:rFonts w:ascii="Arial" w:hAnsi="Arial" w:cs="Arial"/>
          <w:b w:val="0"/>
          <w:bCs/>
        </w:rPr>
      </w:pPr>
    </w:p>
    <w:p w14:paraId="5E4F0DA3" w14:textId="7FFCA333" w:rsidR="00675FC7" w:rsidRPr="00675FC7" w:rsidRDefault="00675FC7" w:rsidP="00675FC7">
      <w:pPr>
        <w:jc w:val="both"/>
        <w:rPr>
          <w:rFonts w:ascii="Arial" w:eastAsiaTheme="minorHAnsi" w:hAnsi="Arial" w:cs="Arial"/>
          <w:b w:val="0"/>
          <w:bCs/>
          <w:sz w:val="21"/>
          <w:szCs w:val="21"/>
        </w:rPr>
      </w:pPr>
      <w:r w:rsidRPr="00675FC7">
        <w:rPr>
          <w:rFonts w:ascii="Arial" w:eastAsiaTheme="minorHAnsi" w:hAnsi="Arial" w:cs="Arial"/>
          <w:b w:val="0"/>
          <w:bCs/>
          <w:sz w:val="21"/>
          <w:szCs w:val="21"/>
        </w:rPr>
        <w:t>Señor:</w:t>
      </w:r>
    </w:p>
    <w:p w14:paraId="19CB04B4" w14:textId="65EC7D59" w:rsidR="00675FC7" w:rsidRPr="0039476D" w:rsidRDefault="00F30510" w:rsidP="00675FC7">
      <w:pPr>
        <w:jc w:val="both"/>
        <w:rPr>
          <w:rFonts w:ascii="Arial" w:eastAsiaTheme="minorHAnsi" w:hAnsi="Arial" w:cs="Arial"/>
          <w:bCs/>
          <w:sz w:val="21"/>
          <w:szCs w:val="21"/>
        </w:rPr>
      </w:pPr>
      <w:r w:rsidRPr="0039476D">
        <w:rPr>
          <w:rFonts w:ascii="Arial" w:eastAsiaTheme="minorHAnsi" w:hAnsi="Arial" w:cs="Arial"/>
          <w:bCs/>
          <w:sz w:val="21"/>
          <w:szCs w:val="21"/>
        </w:rPr>
        <w:t>GILBERTO</w:t>
      </w:r>
      <w:r w:rsidR="00F659C5" w:rsidRPr="0039476D">
        <w:rPr>
          <w:rFonts w:ascii="Arial" w:eastAsiaTheme="minorHAnsi" w:hAnsi="Arial" w:cs="Arial"/>
          <w:bCs/>
          <w:sz w:val="21"/>
          <w:szCs w:val="21"/>
        </w:rPr>
        <w:t xml:space="preserve"> ANDRÉS</w:t>
      </w:r>
      <w:r w:rsidR="00A33427" w:rsidRPr="0039476D">
        <w:rPr>
          <w:rFonts w:ascii="Arial" w:eastAsiaTheme="minorHAnsi" w:hAnsi="Arial" w:cs="Arial"/>
          <w:bCs/>
          <w:sz w:val="21"/>
          <w:szCs w:val="21"/>
        </w:rPr>
        <w:t xml:space="preserve"> QUINTERO GARCÍA</w:t>
      </w:r>
    </w:p>
    <w:p w14:paraId="1C8022BE" w14:textId="59E59426" w:rsidR="00675FC7" w:rsidRPr="0039476D" w:rsidRDefault="00675FC7" w:rsidP="00675FC7">
      <w:pPr>
        <w:rPr>
          <w:rFonts w:ascii="Arial" w:eastAsiaTheme="minorHAnsi" w:hAnsi="Arial" w:cs="Arial"/>
          <w:b w:val="0"/>
          <w:bCs/>
          <w:sz w:val="21"/>
          <w:szCs w:val="21"/>
        </w:rPr>
      </w:pPr>
      <w:r w:rsidRPr="0039476D">
        <w:rPr>
          <w:rFonts w:ascii="Arial" w:eastAsiaTheme="minorHAnsi" w:hAnsi="Arial" w:cs="Arial"/>
          <w:b w:val="0"/>
          <w:bCs/>
          <w:sz w:val="21"/>
          <w:szCs w:val="21"/>
        </w:rPr>
        <w:t>C.C.</w:t>
      </w:r>
      <w:r w:rsidR="0039476D" w:rsidRPr="0039476D">
        <w:rPr>
          <w:rFonts w:ascii="Arial" w:eastAsiaTheme="minorHAnsi" w:hAnsi="Arial" w:cs="Arial"/>
          <w:b w:val="0"/>
          <w:bCs/>
          <w:sz w:val="21"/>
          <w:szCs w:val="21"/>
        </w:rPr>
        <w:t xml:space="preserve"> N</w:t>
      </w:r>
      <w:r w:rsidR="0039476D">
        <w:rPr>
          <w:rFonts w:ascii="Arial" w:eastAsiaTheme="minorHAnsi" w:hAnsi="Arial" w:cs="Arial"/>
          <w:b w:val="0"/>
          <w:bCs/>
          <w:sz w:val="21"/>
          <w:szCs w:val="21"/>
        </w:rPr>
        <w:t>° 1.098.</w:t>
      </w:r>
      <w:r w:rsidR="00F81022">
        <w:rPr>
          <w:rFonts w:ascii="Arial" w:eastAsiaTheme="minorHAnsi" w:hAnsi="Arial" w:cs="Arial"/>
          <w:b w:val="0"/>
          <w:bCs/>
          <w:sz w:val="21"/>
          <w:szCs w:val="21"/>
        </w:rPr>
        <w:t>737.755 de Bucaramanga</w:t>
      </w:r>
    </w:p>
    <w:p w14:paraId="7AC19315" w14:textId="3FCAEC88" w:rsidR="00675FC7" w:rsidRPr="00675FC7" w:rsidRDefault="00F81022" w:rsidP="00675FC7">
      <w:pPr>
        <w:rPr>
          <w:rFonts w:ascii="Arial" w:eastAsiaTheme="minorHAnsi" w:hAnsi="Arial" w:cs="Arial"/>
          <w:b w:val="0"/>
          <w:bCs/>
          <w:sz w:val="21"/>
          <w:szCs w:val="21"/>
          <w:lang w:val="es-MX"/>
        </w:rPr>
      </w:pPr>
      <w:r>
        <w:rPr>
          <w:rFonts w:ascii="Arial" w:eastAsiaTheme="minorHAnsi" w:hAnsi="Arial" w:cs="Arial"/>
          <w:b w:val="0"/>
          <w:bCs/>
          <w:sz w:val="21"/>
          <w:szCs w:val="21"/>
          <w:lang w:val="es-MX"/>
        </w:rPr>
        <w:t>T</w:t>
      </w:r>
      <w:r w:rsidR="00A03C75">
        <w:rPr>
          <w:rFonts w:ascii="Arial" w:eastAsiaTheme="minorHAnsi" w:hAnsi="Arial" w:cs="Arial"/>
          <w:b w:val="0"/>
          <w:bCs/>
          <w:sz w:val="21"/>
          <w:szCs w:val="21"/>
          <w:lang w:val="es-MX"/>
        </w:rPr>
        <w:t>.P.</w:t>
      </w:r>
      <w:r w:rsidR="006928A3">
        <w:rPr>
          <w:rFonts w:ascii="Arial" w:eastAsiaTheme="minorHAnsi" w:hAnsi="Arial" w:cs="Arial"/>
          <w:b w:val="0"/>
          <w:bCs/>
          <w:sz w:val="21"/>
          <w:szCs w:val="21"/>
          <w:lang w:val="es-MX"/>
        </w:rPr>
        <w:t xml:space="preserve"> 342683 del C. S. de la J</w:t>
      </w:r>
    </w:p>
    <w:p w14:paraId="4FC92528" w14:textId="5D3D96BF" w:rsidR="00675FC7" w:rsidRPr="00746BE9" w:rsidRDefault="00675FC7" w:rsidP="00675FC7">
      <w:pPr>
        <w:rPr>
          <w:rFonts w:ascii="Arial" w:eastAsiaTheme="minorHAnsi" w:hAnsi="Arial" w:cs="Arial"/>
          <w:b w:val="0"/>
          <w:sz w:val="21"/>
          <w:szCs w:val="21"/>
          <w:lang w:val="it-IT"/>
        </w:rPr>
      </w:pPr>
      <w:r w:rsidRPr="00AE5727">
        <w:rPr>
          <w:rFonts w:ascii="Arial" w:eastAsiaTheme="minorHAnsi" w:hAnsi="Arial" w:cs="Arial"/>
          <w:b w:val="0"/>
          <w:sz w:val="21"/>
          <w:szCs w:val="21"/>
          <w:lang w:val="it-IT"/>
        </w:rPr>
        <w:t xml:space="preserve">Correo: </w:t>
      </w:r>
      <w:hyperlink r:id="rId8" w:history="1">
        <w:r w:rsidR="00AE5727" w:rsidRPr="00D36972">
          <w:rPr>
            <w:rStyle w:val="Hipervnculo"/>
            <w:rFonts w:ascii="Arial" w:eastAsiaTheme="minorHAnsi" w:hAnsi="Arial" w:cs="Arial"/>
            <w:b w:val="0"/>
            <w:sz w:val="21"/>
            <w:szCs w:val="21"/>
            <w:lang w:val="it-IT"/>
          </w:rPr>
          <w:t>delgadoyquintero@gmail.com</w:t>
        </w:r>
      </w:hyperlink>
      <w:r w:rsidR="00F77134" w:rsidRPr="00AE5727">
        <w:rPr>
          <w:rFonts w:ascii="Arial" w:eastAsiaTheme="minorHAnsi" w:hAnsi="Arial" w:cs="Arial"/>
          <w:b w:val="0"/>
          <w:color w:val="0563C1"/>
          <w:sz w:val="21"/>
          <w:szCs w:val="21"/>
          <w:u w:val="single"/>
          <w:lang w:val="it-IT"/>
        </w:rPr>
        <w:t xml:space="preserve">; </w:t>
      </w:r>
      <w:hyperlink r:id="rId9" w:history="1">
        <w:r w:rsidR="00D77568" w:rsidRPr="00D36972">
          <w:rPr>
            <w:rStyle w:val="Hipervnculo"/>
            <w:rFonts w:ascii="Arial" w:eastAsiaTheme="minorHAnsi" w:hAnsi="Arial" w:cs="Arial"/>
            <w:b w:val="0"/>
            <w:sz w:val="21"/>
            <w:szCs w:val="21"/>
            <w:lang w:val="it-IT"/>
          </w:rPr>
          <w:t>gilberto.quintero. garcia@gmail.com</w:t>
        </w:r>
      </w:hyperlink>
    </w:p>
    <w:p w14:paraId="72A33DFA" w14:textId="7875B4EF" w:rsidR="00675FC7" w:rsidRPr="00675FC7" w:rsidRDefault="00746BE9" w:rsidP="00675FC7">
      <w:pPr>
        <w:rPr>
          <w:rFonts w:ascii="Arial" w:eastAsiaTheme="minorHAnsi" w:hAnsi="Arial" w:cs="Arial"/>
          <w:b w:val="0"/>
          <w:sz w:val="21"/>
          <w:szCs w:val="21"/>
          <w:lang w:val="es-ES_tradnl"/>
        </w:rPr>
      </w:pPr>
      <w:r>
        <w:rPr>
          <w:rFonts w:ascii="Arial" w:eastAsiaTheme="minorHAnsi" w:hAnsi="Arial" w:cs="Arial"/>
          <w:b w:val="0"/>
          <w:sz w:val="21"/>
          <w:szCs w:val="21"/>
          <w:lang w:val="es-ES_tradnl"/>
        </w:rPr>
        <w:t>Bucaramanga</w:t>
      </w:r>
      <w:r w:rsidR="00675FC7" w:rsidRPr="00675FC7">
        <w:rPr>
          <w:rFonts w:ascii="Arial" w:eastAsiaTheme="minorHAnsi" w:hAnsi="Arial" w:cs="Arial"/>
          <w:b w:val="0"/>
          <w:sz w:val="21"/>
          <w:szCs w:val="21"/>
          <w:lang w:val="es-ES_tradnl"/>
        </w:rPr>
        <w:t>– Santander</w:t>
      </w:r>
    </w:p>
    <w:p w14:paraId="7B8DA6D6" w14:textId="77777777" w:rsidR="00675FC7" w:rsidRPr="00675FC7" w:rsidRDefault="00675FC7" w:rsidP="00675FC7">
      <w:pPr>
        <w:rPr>
          <w:rFonts w:ascii="Arial" w:eastAsiaTheme="minorHAnsi" w:hAnsi="Arial" w:cs="Arial"/>
          <w:b w:val="0"/>
          <w:sz w:val="21"/>
          <w:szCs w:val="21"/>
          <w:lang w:val="es-ES_tradnl"/>
        </w:rPr>
      </w:pPr>
    </w:p>
    <w:tbl>
      <w:tblPr>
        <w:tblStyle w:val="Tablaconcuadrcula"/>
        <w:tblW w:w="93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929"/>
        <w:gridCol w:w="8441"/>
      </w:tblGrid>
      <w:tr w:rsidR="00675FC7" w:rsidRPr="00675FC7" w14:paraId="1A9841D3" w14:textId="77777777" w:rsidTr="008D5910">
        <w:trPr>
          <w:trHeight w:val="529"/>
        </w:trPr>
        <w:tc>
          <w:tcPr>
            <w:tcW w:w="929" w:type="dxa"/>
          </w:tcPr>
          <w:p w14:paraId="04466C3D" w14:textId="77777777" w:rsidR="00675FC7" w:rsidRPr="00675FC7" w:rsidRDefault="00675FC7" w:rsidP="00675FC7">
            <w:pPr>
              <w:jc w:val="both"/>
              <w:rPr>
                <w:rFonts w:ascii="Arial" w:eastAsiaTheme="minorHAnsi" w:hAnsi="Arial" w:cs="Arial"/>
              </w:rPr>
            </w:pPr>
            <w:r w:rsidRPr="00675FC7">
              <w:rPr>
                <w:rFonts w:ascii="Arial" w:eastAsiaTheme="minorHAnsi" w:hAnsi="Arial" w:cs="Arial"/>
              </w:rPr>
              <w:t>Asunto:</w:t>
            </w:r>
          </w:p>
        </w:tc>
        <w:tc>
          <w:tcPr>
            <w:tcW w:w="8441" w:type="dxa"/>
          </w:tcPr>
          <w:p w14:paraId="1CB30374" w14:textId="13473158" w:rsidR="00675FC7" w:rsidRPr="00675FC7" w:rsidRDefault="00675FC7" w:rsidP="001D2D09">
            <w:pPr>
              <w:jc w:val="both"/>
              <w:rPr>
                <w:rFonts w:ascii="Arial" w:eastAsiaTheme="minorHAnsi" w:hAnsi="Arial" w:cs="Arial"/>
                <w:b w:val="0"/>
              </w:rPr>
            </w:pPr>
            <w:r w:rsidRPr="00675FC7">
              <w:rPr>
                <w:rFonts w:ascii="Arial" w:eastAsiaTheme="minorHAnsi" w:hAnsi="Arial" w:cs="Arial"/>
                <w:b w:val="0"/>
              </w:rPr>
              <w:t xml:space="preserve">Respuesta a radicado CDMB N° </w:t>
            </w:r>
            <w:r w:rsidR="00DB5A86">
              <w:rPr>
                <w:rFonts w:ascii="Arial" w:eastAsiaTheme="minorHAnsi" w:hAnsi="Arial" w:cs="Arial"/>
                <w:b w:val="0"/>
              </w:rPr>
              <w:t>8018</w:t>
            </w:r>
            <w:r w:rsidRPr="00675FC7">
              <w:rPr>
                <w:rFonts w:ascii="Arial" w:eastAsiaTheme="minorHAnsi" w:hAnsi="Arial" w:cs="Arial"/>
                <w:b w:val="0"/>
              </w:rPr>
              <w:t xml:space="preserve"> de </w:t>
            </w:r>
            <w:r w:rsidR="00C5003B">
              <w:rPr>
                <w:rFonts w:ascii="Arial" w:eastAsiaTheme="minorHAnsi" w:hAnsi="Arial" w:cs="Arial"/>
                <w:b w:val="0"/>
              </w:rPr>
              <w:t>20</w:t>
            </w:r>
            <w:r w:rsidRPr="00675FC7">
              <w:rPr>
                <w:rFonts w:ascii="Arial" w:eastAsiaTheme="minorHAnsi" w:hAnsi="Arial" w:cs="Arial"/>
                <w:b w:val="0"/>
              </w:rPr>
              <w:t xml:space="preserve"> de </w:t>
            </w:r>
            <w:r w:rsidR="00C5003B">
              <w:rPr>
                <w:rFonts w:ascii="Arial" w:eastAsiaTheme="minorHAnsi" w:hAnsi="Arial" w:cs="Arial"/>
                <w:b w:val="0"/>
              </w:rPr>
              <w:t>abril</w:t>
            </w:r>
            <w:r w:rsidRPr="00675FC7">
              <w:rPr>
                <w:rFonts w:ascii="Arial" w:eastAsiaTheme="minorHAnsi" w:hAnsi="Arial" w:cs="Arial"/>
                <w:b w:val="0"/>
              </w:rPr>
              <w:t xml:space="preserve"> de 202</w:t>
            </w:r>
            <w:r w:rsidR="001D2D09">
              <w:rPr>
                <w:rFonts w:ascii="Arial" w:eastAsiaTheme="minorHAnsi" w:hAnsi="Arial" w:cs="Arial"/>
                <w:b w:val="0"/>
              </w:rPr>
              <w:t xml:space="preserve">6; </w:t>
            </w:r>
            <w:r w:rsidR="001D2D09" w:rsidRPr="001D2D09">
              <w:rPr>
                <w:rFonts w:ascii="Arial" w:eastAsiaTheme="minorHAnsi" w:hAnsi="Arial" w:cs="Arial"/>
                <w:b w:val="0"/>
              </w:rPr>
              <w:t>Solicitud de información</w:t>
            </w:r>
            <w:r w:rsidR="00CC72CB">
              <w:rPr>
                <w:rFonts w:ascii="Arial" w:eastAsiaTheme="minorHAnsi" w:hAnsi="Arial" w:cs="Arial"/>
                <w:b w:val="0"/>
              </w:rPr>
              <w:t xml:space="preserve"> de los p</w:t>
            </w:r>
            <w:r w:rsidR="001D2D09" w:rsidRPr="001D2D09">
              <w:rPr>
                <w:rFonts w:ascii="Arial" w:eastAsiaTheme="minorHAnsi" w:hAnsi="Arial" w:cs="Arial"/>
                <w:b w:val="0"/>
              </w:rPr>
              <w:t>redios con matrícula inmobiliaria Nos. 300-214722 y 300-214723</w:t>
            </w:r>
          </w:p>
        </w:tc>
      </w:tr>
    </w:tbl>
    <w:p w14:paraId="4482AB88" w14:textId="77777777" w:rsidR="00CC72CB" w:rsidRDefault="00CC72CB" w:rsidP="00BA60DD">
      <w:pPr>
        <w:jc w:val="both"/>
        <w:rPr>
          <w:rFonts w:ascii="Arial" w:eastAsiaTheme="minorHAnsi" w:hAnsi="Arial" w:cs="Arial"/>
          <w:b w:val="0"/>
          <w:sz w:val="20"/>
          <w:szCs w:val="20"/>
        </w:rPr>
      </w:pPr>
    </w:p>
    <w:p w14:paraId="3B1B6792" w14:textId="77777777" w:rsidR="00CC72CB" w:rsidRDefault="00CC72CB" w:rsidP="00BA60DD">
      <w:pPr>
        <w:jc w:val="both"/>
        <w:rPr>
          <w:rFonts w:ascii="Arial" w:eastAsiaTheme="minorHAnsi" w:hAnsi="Arial" w:cs="Arial"/>
          <w:b w:val="0"/>
          <w:sz w:val="20"/>
          <w:szCs w:val="20"/>
        </w:rPr>
      </w:pPr>
    </w:p>
    <w:p w14:paraId="75D856E6" w14:textId="63FB4F3B" w:rsidR="00BA60DD" w:rsidRPr="00BA60DD" w:rsidRDefault="00BA60DD" w:rsidP="00BA60DD">
      <w:pPr>
        <w:jc w:val="both"/>
        <w:rPr>
          <w:rFonts w:ascii="Arial" w:eastAsiaTheme="minorHAnsi" w:hAnsi="Arial" w:cs="Arial"/>
          <w:sz w:val="20"/>
          <w:szCs w:val="20"/>
        </w:rPr>
      </w:pPr>
      <w:r w:rsidRPr="00BA60DD">
        <w:rPr>
          <w:rFonts w:ascii="Arial" w:eastAsiaTheme="minorHAnsi" w:hAnsi="Arial" w:cs="Arial"/>
          <w:b w:val="0"/>
          <w:sz w:val="20"/>
          <w:szCs w:val="20"/>
        </w:rPr>
        <w:t>Cordial Saludo,</w:t>
      </w:r>
    </w:p>
    <w:p w14:paraId="59B28D10" w14:textId="77777777" w:rsidR="00A26C93" w:rsidRDefault="00A26C93" w:rsidP="00A43367">
      <w:pPr>
        <w:rPr>
          <w:rFonts w:ascii="Arial" w:hAnsi="Arial" w:cs="Arial"/>
          <w:b w:val="0"/>
          <w:sz w:val="20"/>
          <w:szCs w:val="20"/>
        </w:rPr>
      </w:pPr>
    </w:p>
    <w:p w14:paraId="199DBC38" w14:textId="77777777" w:rsidR="006D7237" w:rsidRPr="006D7237" w:rsidRDefault="006D7237" w:rsidP="006D7237">
      <w:pPr>
        <w:jc w:val="both"/>
        <w:rPr>
          <w:rFonts w:ascii="Arial" w:hAnsi="Arial" w:cs="Arial"/>
          <w:b w:val="0"/>
        </w:rPr>
      </w:pPr>
      <w:r w:rsidRPr="006D7237">
        <w:rPr>
          <w:rFonts w:ascii="Arial" w:hAnsi="Arial" w:cs="Arial"/>
          <w:b w:val="0"/>
        </w:rPr>
        <w:t xml:space="preserve">En atención a la solicitud de información de la referencia, y desde el marco de las competencias funcionales de la Subdirección de Ordenamiento y Planificación Integral del Territorio de la CDMB, este oficio de respuesta </w:t>
      </w:r>
      <w:r w:rsidRPr="006D7237">
        <w:rPr>
          <w:rFonts w:ascii="Arial" w:hAnsi="Arial" w:cs="Arial"/>
          <w:bCs/>
          <w:i/>
          <w:iCs/>
          <w:u w:val="single"/>
        </w:rPr>
        <w:t>no es un permiso, licencia, ni documento que autorice ó viabilice la realización, ni ejecución de ningún tipo de proyecto (minero, urbanístico, arquitectónico, movimiento de tierra, subdivisión, aprovechamiento forestal y demás)</w:t>
      </w:r>
      <w:r w:rsidRPr="006D7237">
        <w:rPr>
          <w:rFonts w:ascii="Arial" w:hAnsi="Arial" w:cs="Arial"/>
          <w:b w:val="0"/>
          <w:i/>
          <w:iCs/>
        </w:rPr>
        <w:t>,</w:t>
      </w:r>
      <w:r w:rsidRPr="006D7237">
        <w:rPr>
          <w:rFonts w:ascii="Arial" w:hAnsi="Arial" w:cs="Arial"/>
          <w:b w:val="0"/>
        </w:rPr>
        <w:t xml:space="preserve"> teniendo en cuenta las anteriores consideraciones se procede a dar respuesta a lo solicitado, en los siguientes términos:</w:t>
      </w:r>
    </w:p>
    <w:p w14:paraId="534A6564" w14:textId="77777777" w:rsidR="006D7237" w:rsidRPr="00BB15E4" w:rsidRDefault="006D7237" w:rsidP="006D7237">
      <w:pPr>
        <w:rPr>
          <w:rFonts w:ascii="Arial" w:hAnsi="Arial" w:cs="Arial"/>
          <w:b w:val="0"/>
          <w:lang w:val="es-ES"/>
        </w:rPr>
      </w:pPr>
    </w:p>
    <w:p w14:paraId="525ED05B" w14:textId="45131AE9" w:rsidR="006D7237" w:rsidRPr="00BB15E4" w:rsidRDefault="00E70E46" w:rsidP="00002E91">
      <w:pPr>
        <w:jc w:val="both"/>
        <w:rPr>
          <w:rFonts w:ascii="Arial" w:hAnsi="Arial" w:cs="Arial"/>
          <w:b w:val="0"/>
          <w:i/>
          <w:iCs/>
          <w:lang w:val="es-ES"/>
        </w:rPr>
      </w:pPr>
      <w:r w:rsidRPr="00BB15E4">
        <w:rPr>
          <w:rFonts w:ascii="Arial" w:hAnsi="Arial" w:cs="Arial"/>
          <w:bCs/>
          <w:i/>
          <w:iCs/>
          <w:lang w:val="es-ES"/>
        </w:rPr>
        <w:t>PRIMERO.</w:t>
      </w:r>
      <w:r w:rsidRPr="00BB15E4">
        <w:rPr>
          <w:rFonts w:ascii="Arial" w:hAnsi="Arial" w:cs="Arial"/>
          <w:b w:val="0"/>
          <w:i/>
          <w:iCs/>
          <w:lang w:val="es-ES"/>
        </w:rPr>
        <w:t xml:space="preserve"> Se informe si sobre los predios identificados con matrícula inmobiliaria No. 300-214722 y 300214723</w:t>
      </w:r>
      <w:r w:rsidR="00002E91" w:rsidRPr="00BB15E4">
        <w:rPr>
          <w:rFonts w:ascii="Arial" w:hAnsi="Arial" w:cs="Arial"/>
          <w:b w:val="0"/>
          <w:i/>
          <w:iCs/>
          <w:lang w:val="es-ES"/>
        </w:rPr>
        <w:t xml:space="preserve">, </w:t>
      </w:r>
      <w:r w:rsidRPr="00BB15E4">
        <w:rPr>
          <w:rFonts w:ascii="Arial" w:hAnsi="Arial" w:cs="Arial"/>
          <w:b w:val="0"/>
          <w:i/>
          <w:iCs/>
          <w:lang w:val="es-ES"/>
        </w:rPr>
        <w:t>recaen determinantes ambientales vigentes emitidas por esa Corporación, indicando su</w:t>
      </w:r>
      <w:r w:rsidR="00002E91" w:rsidRPr="00BB15E4">
        <w:rPr>
          <w:rFonts w:ascii="Arial" w:hAnsi="Arial" w:cs="Arial"/>
          <w:b w:val="0"/>
          <w:i/>
          <w:iCs/>
          <w:lang w:val="es-ES"/>
        </w:rPr>
        <w:t xml:space="preserve"> </w:t>
      </w:r>
      <w:r w:rsidRPr="00BB15E4">
        <w:rPr>
          <w:rFonts w:ascii="Arial" w:hAnsi="Arial" w:cs="Arial"/>
          <w:b w:val="0"/>
          <w:i/>
          <w:iCs/>
          <w:lang w:val="es-ES"/>
        </w:rPr>
        <w:t>naturaleza, alcance, fecha de expedición y acto administrativo que las contiene.</w:t>
      </w:r>
    </w:p>
    <w:p w14:paraId="1D7BFF28" w14:textId="77777777" w:rsidR="006D7237" w:rsidRPr="00BA60DD" w:rsidRDefault="006D7237" w:rsidP="00A43367">
      <w:pPr>
        <w:rPr>
          <w:rFonts w:ascii="Arial" w:hAnsi="Arial" w:cs="Arial"/>
          <w:b w:val="0"/>
          <w:sz w:val="20"/>
          <w:szCs w:val="20"/>
        </w:rPr>
      </w:pPr>
    </w:p>
    <w:p w14:paraId="7AEF3902" w14:textId="3CCCDB10" w:rsidR="00EA6A91" w:rsidRPr="00375C29" w:rsidRDefault="00BB15E4" w:rsidP="00813369">
      <w:pPr>
        <w:tabs>
          <w:tab w:val="left" w:pos="426"/>
        </w:tabs>
        <w:ind w:right="113"/>
        <w:contextualSpacing/>
        <w:jc w:val="both"/>
        <w:rPr>
          <w:rFonts w:ascii="Arial" w:eastAsiaTheme="minorHAnsi" w:hAnsi="Arial" w:cs="Arial"/>
          <w:b w:val="0"/>
        </w:rPr>
      </w:pPr>
      <w:bookmarkStart w:id="0" w:name="_Hlk192002387"/>
      <w:r w:rsidRPr="00375C29">
        <w:rPr>
          <w:rFonts w:ascii="Arial" w:eastAsiaTheme="minorHAnsi" w:hAnsi="Arial" w:cs="Arial"/>
          <w:bCs/>
          <w:lang w:val="es-ES"/>
        </w:rPr>
        <w:t>Respuesta:</w:t>
      </w:r>
      <w:r w:rsidRPr="00375C29">
        <w:rPr>
          <w:rFonts w:ascii="Arial" w:eastAsiaTheme="minorHAnsi" w:hAnsi="Arial" w:cs="Arial"/>
          <w:b w:val="0"/>
          <w:lang w:val="es-ES"/>
        </w:rPr>
        <w:t xml:space="preserve"> </w:t>
      </w:r>
      <w:r w:rsidR="00AC3C8C" w:rsidRPr="00375C29">
        <w:rPr>
          <w:rFonts w:ascii="Arial" w:eastAsiaTheme="minorHAnsi" w:hAnsi="Arial" w:cs="Arial"/>
          <w:b w:val="0"/>
          <w:lang w:val="es-ES"/>
        </w:rPr>
        <w:t xml:space="preserve">En atención a la comunicación enunciada en el asunto y </w:t>
      </w:r>
      <w:r w:rsidR="00813369" w:rsidRPr="00375C29">
        <w:rPr>
          <w:rFonts w:ascii="Arial" w:eastAsiaTheme="minorHAnsi" w:hAnsi="Arial" w:cs="Arial"/>
          <w:b w:val="0"/>
        </w:rPr>
        <w:t>Desde el marco de las competencias de la Subdirección de Ordenamiento y Planificación Integral del Territorio, consultada la información cartográfica del archivo predial del Área Metropolitana de Bucaramanga – AMB descargado de la página web del AMB datos abiertos de marzo de 2024 y de acuerdo a la cartografía suministrada por el Sistema de Información Geográfica de la entidad (</w:t>
      </w:r>
      <w:r w:rsidR="00411223" w:rsidRPr="00411223">
        <w:rPr>
          <w:rFonts w:ascii="Arial" w:eastAsiaTheme="minorHAnsi" w:hAnsi="Arial" w:cs="Arial"/>
          <w:bCs/>
          <w:iCs/>
        </w:rPr>
        <w:t xml:space="preserve">(ver. salida cartográfica anexa N° </w:t>
      </w:r>
      <w:r w:rsidR="00411223">
        <w:rPr>
          <w:rFonts w:ascii="Arial" w:eastAsiaTheme="minorHAnsi" w:hAnsi="Arial" w:cs="Arial"/>
          <w:bCs/>
          <w:iCs/>
        </w:rPr>
        <w:t>1</w:t>
      </w:r>
      <w:r w:rsidR="00813369" w:rsidRPr="00375C29">
        <w:rPr>
          <w:rFonts w:ascii="Arial" w:eastAsiaTheme="minorHAnsi" w:hAnsi="Arial" w:cs="Arial"/>
          <w:b w:val="0"/>
        </w:rPr>
        <w:t>),</w:t>
      </w:r>
      <w:r w:rsidR="00C7167F">
        <w:rPr>
          <w:rFonts w:ascii="Arial" w:eastAsiaTheme="minorHAnsi" w:hAnsi="Arial" w:cs="Arial"/>
          <w:b w:val="0"/>
        </w:rPr>
        <w:t xml:space="preserve"> los</w:t>
      </w:r>
      <w:r w:rsidR="00813369" w:rsidRPr="00375C29">
        <w:rPr>
          <w:rFonts w:ascii="Arial" w:eastAsiaTheme="minorHAnsi" w:hAnsi="Arial" w:cs="Arial"/>
          <w:b w:val="0"/>
        </w:rPr>
        <w:t xml:space="preserve"> predio</w:t>
      </w:r>
      <w:r w:rsidR="00C7167F">
        <w:rPr>
          <w:rFonts w:ascii="Arial" w:eastAsiaTheme="minorHAnsi" w:hAnsi="Arial" w:cs="Arial"/>
          <w:b w:val="0"/>
        </w:rPr>
        <w:t>s</w:t>
      </w:r>
      <w:r w:rsidR="00813369" w:rsidRPr="00375C29">
        <w:rPr>
          <w:rFonts w:ascii="Arial" w:eastAsiaTheme="minorHAnsi" w:hAnsi="Arial" w:cs="Arial"/>
          <w:b w:val="0"/>
        </w:rPr>
        <w:t xml:space="preserve"> identificado</w:t>
      </w:r>
      <w:r w:rsidR="00C7167F">
        <w:rPr>
          <w:rFonts w:ascii="Arial" w:eastAsiaTheme="minorHAnsi" w:hAnsi="Arial" w:cs="Arial"/>
          <w:b w:val="0"/>
        </w:rPr>
        <w:t>s</w:t>
      </w:r>
      <w:r w:rsidR="00813369" w:rsidRPr="00375C29">
        <w:rPr>
          <w:rFonts w:ascii="Arial" w:eastAsiaTheme="minorHAnsi" w:hAnsi="Arial" w:cs="Arial"/>
          <w:b w:val="0"/>
        </w:rPr>
        <w:t xml:space="preserve"> con cédula catastral número 68</w:t>
      </w:r>
      <w:r w:rsidR="009206CF">
        <w:rPr>
          <w:rFonts w:ascii="Arial" w:eastAsiaTheme="minorHAnsi" w:hAnsi="Arial" w:cs="Arial"/>
          <w:b w:val="0"/>
        </w:rPr>
        <w:t xml:space="preserve">001010900120012000, </w:t>
      </w:r>
      <w:r w:rsidR="00813369" w:rsidRPr="00375C29">
        <w:rPr>
          <w:rFonts w:ascii="Arial" w:eastAsiaTheme="minorHAnsi" w:hAnsi="Arial" w:cs="Arial"/>
          <w:b w:val="0"/>
        </w:rPr>
        <w:t>matricula inmobiliaria 3</w:t>
      </w:r>
      <w:r w:rsidR="009F1DFB">
        <w:rPr>
          <w:rFonts w:ascii="Arial" w:eastAsiaTheme="minorHAnsi" w:hAnsi="Arial" w:cs="Arial"/>
          <w:b w:val="0"/>
        </w:rPr>
        <w:t xml:space="preserve">00-214722 y </w:t>
      </w:r>
      <w:r w:rsidR="009F1DFB" w:rsidRPr="009F1DFB">
        <w:rPr>
          <w:rFonts w:ascii="Arial" w:eastAsiaTheme="minorHAnsi" w:hAnsi="Arial" w:cs="Arial"/>
          <w:b w:val="0"/>
        </w:rPr>
        <w:t>cédula catastral número 68</w:t>
      </w:r>
      <w:r w:rsidR="002435EB">
        <w:rPr>
          <w:rFonts w:ascii="Arial" w:eastAsiaTheme="minorHAnsi" w:hAnsi="Arial" w:cs="Arial"/>
          <w:b w:val="0"/>
        </w:rPr>
        <w:t>001010900120059000</w:t>
      </w:r>
      <w:r w:rsidR="009F1DFB" w:rsidRPr="009F1DFB">
        <w:rPr>
          <w:rFonts w:ascii="Arial" w:eastAsiaTheme="minorHAnsi" w:hAnsi="Arial" w:cs="Arial"/>
          <w:b w:val="0"/>
        </w:rPr>
        <w:t>, matricula inmobiliaria 300-21472</w:t>
      </w:r>
      <w:r w:rsidR="00B8159C">
        <w:rPr>
          <w:rFonts w:ascii="Arial" w:eastAsiaTheme="minorHAnsi" w:hAnsi="Arial" w:cs="Arial"/>
          <w:b w:val="0"/>
        </w:rPr>
        <w:t>3</w:t>
      </w:r>
      <w:r w:rsidR="00384067" w:rsidRPr="00375C29">
        <w:rPr>
          <w:rFonts w:ascii="Arial" w:eastAsiaTheme="minorHAnsi" w:hAnsi="Arial" w:cs="Arial"/>
          <w:b w:val="0"/>
        </w:rPr>
        <w:t>, ubicado en</w:t>
      </w:r>
      <w:r w:rsidR="00D30043">
        <w:rPr>
          <w:rFonts w:ascii="Arial" w:eastAsiaTheme="minorHAnsi" w:hAnsi="Arial" w:cs="Arial"/>
          <w:b w:val="0"/>
        </w:rPr>
        <w:t xml:space="preserve"> el sector C</w:t>
      </w:r>
      <w:r w:rsidR="004452CD">
        <w:rPr>
          <w:rFonts w:ascii="Arial" w:eastAsiaTheme="minorHAnsi" w:hAnsi="Arial" w:cs="Arial"/>
          <w:b w:val="0"/>
        </w:rPr>
        <w:t xml:space="preserve">afé Madrid </w:t>
      </w:r>
      <w:r w:rsidR="005868D1" w:rsidRPr="00375C29">
        <w:rPr>
          <w:rFonts w:ascii="Arial" w:eastAsiaTheme="minorHAnsi" w:hAnsi="Arial" w:cs="Arial"/>
          <w:b w:val="0"/>
        </w:rPr>
        <w:t>del Municipio de</w:t>
      </w:r>
      <w:r w:rsidR="004452CD">
        <w:rPr>
          <w:rFonts w:ascii="Arial" w:eastAsiaTheme="minorHAnsi" w:hAnsi="Arial" w:cs="Arial"/>
          <w:b w:val="0"/>
        </w:rPr>
        <w:t xml:space="preserve"> Bucaramanga</w:t>
      </w:r>
      <w:r w:rsidR="005868D1" w:rsidRPr="00375C29">
        <w:rPr>
          <w:rFonts w:ascii="Arial" w:eastAsiaTheme="minorHAnsi" w:hAnsi="Arial" w:cs="Arial"/>
          <w:b w:val="0"/>
        </w:rPr>
        <w:t>,</w:t>
      </w:r>
      <w:r w:rsidR="00813369" w:rsidRPr="00375C29">
        <w:rPr>
          <w:rFonts w:ascii="Arial" w:eastAsiaTheme="minorHAnsi" w:hAnsi="Arial" w:cs="Arial"/>
          <w:b w:val="0"/>
        </w:rPr>
        <w:t xml:space="preserve"> se encuentran reglamentados según la Zonificación Ambiental del POMCA RIO ALTO LEBRIJA, adoptado mediante Resolución CDMB N° 0392 de julio 17 de 2020 y se encuentra zonificado de la siguiente manera:</w:t>
      </w:r>
    </w:p>
    <w:p w14:paraId="57927F58" w14:textId="77777777" w:rsidR="00813369" w:rsidRDefault="00813369" w:rsidP="00813369">
      <w:pPr>
        <w:tabs>
          <w:tab w:val="left" w:pos="426"/>
        </w:tabs>
        <w:ind w:right="113"/>
        <w:contextualSpacing/>
        <w:jc w:val="both"/>
        <w:rPr>
          <w:rFonts w:ascii="Arial" w:eastAsiaTheme="minorHAnsi" w:hAnsi="Arial" w:cs="Arial"/>
          <w:b w:val="0"/>
          <w:lang w:val="es-ES"/>
        </w:rPr>
      </w:pPr>
    </w:p>
    <w:p w14:paraId="634FC206" w14:textId="77777777" w:rsidR="00813369" w:rsidRDefault="00813369" w:rsidP="00813369">
      <w:pPr>
        <w:tabs>
          <w:tab w:val="left" w:pos="426"/>
        </w:tabs>
        <w:ind w:right="113"/>
        <w:contextualSpacing/>
        <w:jc w:val="both"/>
        <w:rPr>
          <w:rFonts w:ascii="Arial" w:eastAsiaTheme="minorHAnsi" w:hAnsi="Arial" w:cs="Arial"/>
          <w:b w:val="0"/>
          <w:sz w:val="20"/>
          <w:szCs w:val="20"/>
          <w:lang w:val="es-ES"/>
        </w:rPr>
      </w:pPr>
    </w:p>
    <w:p w14:paraId="6D64C4B5" w14:textId="77777777" w:rsidR="004452CD" w:rsidRDefault="004452CD" w:rsidP="00813369">
      <w:pPr>
        <w:tabs>
          <w:tab w:val="left" w:pos="426"/>
        </w:tabs>
        <w:ind w:right="113"/>
        <w:contextualSpacing/>
        <w:jc w:val="both"/>
        <w:rPr>
          <w:rFonts w:ascii="Arial" w:eastAsiaTheme="minorHAnsi" w:hAnsi="Arial" w:cs="Arial"/>
          <w:b w:val="0"/>
          <w:sz w:val="20"/>
          <w:szCs w:val="20"/>
          <w:lang w:val="es-ES"/>
        </w:rPr>
      </w:pPr>
    </w:p>
    <w:p w14:paraId="719E1645" w14:textId="77777777" w:rsidR="004452CD" w:rsidRDefault="004452CD" w:rsidP="00813369">
      <w:pPr>
        <w:tabs>
          <w:tab w:val="left" w:pos="426"/>
        </w:tabs>
        <w:ind w:right="113"/>
        <w:contextualSpacing/>
        <w:jc w:val="both"/>
        <w:rPr>
          <w:rFonts w:ascii="Arial" w:eastAsiaTheme="minorHAnsi" w:hAnsi="Arial" w:cs="Arial"/>
          <w:b w:val="0"/>
          <w:sz w:val="20"/>
          <w:szCs w:val="20"/>
          <w:lang w:val="es-ES"/>
        </w:rPr>
      </w:pPr>
    </w:p>
    <w:p w14:paraId="5DB68F5E" w14:textId="77777777" w:rsidR="004452CD" w:rsidRDefault="004452CD" w:rsidP="00813369">
      <w:pPr>
        <w:tabs>
          <w:tab w:val="left" w:pos="426"/>
        </w:tabs>
        <w:ind w:right="113"/>
        <w:contextualSpacing/>
        <w:jc w:val="both"/>
        <w:rPr>
          <w:rFonts w:ascii="Arial" w:eastAsiaTheme="minorHAnsi" w:hAnsi="Arial" w:cs="Arial"/>
          <w:b w:val="0"/>
          <w:sz w:val="20"/>
          <w:szCs w:val="20"/>
          <w:lang w:val="es-ES"/>
        </w:rPr>
      </w:pPr>
    </w:p>
    <w:p w14:paraId="1DC3CD31" w14:textId="77777777" w:rsidR="004452CD" w:rsidRDefault="004452CD" w:rsidP="00813369">
      <w:pPr>
        <w:tabs>
          <w:tab w:val="left" w:pos="426"/>
        </w:tabs>
        <w:ind w:right="113"/>
        <w:contextualSpacing/>
        <w:jc w:val="both"/>
        <w:rPr>
          <w:rFonts w:ascii="Arial" w:eastAsiaTheme="minorHAnsi" w:hAnsi="Arial" w:cs="Arial"/>
          <w:b w:val="0"/>
          <w:sz w:val="20"/>
          <w:szCs w:val="20"/>
          <w:lang w:val="es-ES"/>
        </w:rPr>
      </w:pPr>
    </w:p>
    <w:p w14:paraId="1A32B6B2" w14:textId="77777777" w:rsidR="004452CD" w:rsidRDefault="004452CD" w:rsidP="00813369">
      <w:pPr>
        <w:tabs>
          <w:tab w:val="left" w:pos="426"/>
        </w:tabs>
        <w:ind w:right="113"/>
        <w:contextualSpacing/>
        <w:jc w:val="both"/>
        <w:rPr>
          <w:rFonts w:ascii="Arial" w:eastAsiaTheme="minorHAnsi" w:hAnsi="Arial" w:cs="Arial"/>
          <w:b w:val="0"/>
          <w:sz w:val="20"/>
          <w:szCs w:val="20"/>
          <w:lang w:val="es-ES"/>
        </w:rPr>
      </w:pPr>
    </w:p>
    <w:p w14:paraId="4AAC2881" w14:textId="77777777" w:rsidR="004452CD" w:rsidRDefault="004452CD" w:rsidP="00813369">
      <w:pPr>
        <w:tabs>
          <w:tab w:val="left" w:pos="426"/>
        </w:tabs>
        <w:ind w:right="113"/>
        <w:contextualSpacing/>
        <w:jc w:val="both"/>
        <w:rPr>
          <w:rFonts w:ascii="Arial" w:eastAsiaTheme="minorHAnsi" w:hAnsi="Arial" w:cs="Arial"/>
          <w:b w:val="0"/>
          <w:sz w:val="20"/>
          <w:szCs w:val="20"/>
          <w:lang w:val="es-ES"/>
        </w:rPr>
      </w:pPr>
    </w:p>
    <w:tbl>
      <w:tblPr>
        <w:tblStyle w:val="Tablaconcuadrcula"/>
        <w:tblW w:w="5567" w:type="pct"/>
        <w:jc w:val="center"/>
        <w:tblLook w:val="04A0" w:firstRow="1" w:lastRow="0" w:firstColumn="1" w:lastColumn="0" w:noHBand="0" w:noVBand="1"/>
      </w:tblPr>
      <w:tblGrid>
        <w:gridCol w:w="1800"/>
        <w:gridCol w:w="812"/>
        <w:gridCol w:w="1230"/>
        <w:gridCol w:w="828"/>
        <w:gridCol w:w="3688"/>
        <w:gridCol w:w="791"/>
        <w:gridCol w:w="1310"/>
      </w:tblGrid>
      <w:tr w:rsidR="00813369" w:rsidRPr="000E7189" w14:paraId="133E1209" w14:textId="0C398D90" w:rsidTr="009E7E76">
        <w:trPr>
          <w:trHeight w:val="113"/>
          <w:tblHeader/>
          <w:jc w:val="center"/>
        </w:trPr>
        <w:tc>
          <w:tcPr>
            <w:tcW w:w="861" w:type="pct"/>
            <w:shd w:val="clear" w:color="auto" w:fill="FFFFFF"/>
            <w:vAlign w:val="center"/>
          </w:tcPr>
          <w:p w14:paraId="2BA3723B" w14:textId="1BABAD04" w:rsidR="000E7189" w:rsidRPr="00982266" w:rsidRDefault="000E7189" w:rsidP="009E7E76">
            <w:pPr>
              <w:widowControl w:val="0"/>
              <w:spacing w:line="259" w:lineRule="auto"/>
              <w:jc w:val="center"/>
              <w:rPr>
                <w:rFonts w:ascii="Arial" w:hAnsi="Arial" w:cs="Arial"/>
                <w:bCs/>
                <w:color w:val="000000"/>
                <w:sz w:val="16"/>
                <w:szCs w:val="16"/>
                <w:shd w:val="clear" w:color="auto" w:fill="FFFFFF"/>
              </w:rPr>
            </w:pPr>
            <w:bookmarkStart w:id="1" w:name="_Hlk197636374"/>
            <w:r w:rsidRPr="000E7189">
              <w:rPr>
                <w:rFonts w:ascii="Arial" w:hAnsi="Arial" w:cs="Arial"/>
                <w:bCs/>
                <w:color w:val="000000"/>
                <w:sz w:val="16"/>
                <w:szCs w:val="16"/>
                <w:shd w:val="clear" w:color="auto" w:fill="FFFFFF"/>
              </w:rPr>
              <w:t>N° PREDIAL</w:t>
            </w:r>
          </w:p>
        </w:tc>
        <w:tc>
          <w:tcPr>
            <w:tcW w:w="388" w:type="pct"/>
            <w:shd w:val="clear" w:color="auto" w:fill="FFFFFF"/>
            <w:vAlign w:val="center"/>
          </w:tcPr>
          <w:p w14:paraId="3861FBA7" w14:textId="77777777" w:rsidR="000E7189" w:rsidRPr="00982266" w:rsidRDefault="000E7189" w:rsidP="009E7E76">
            <w:pPr>
              <w:widowControl w:val="0"/>
              <w:spacing w:line="259" w:lineRule="auto"/>
              <w:jc w:val="center"/>
              <w:rPr>
                <w:rFonts w:ascii="Arial" w:hAnsi="Arial" w:cs="Arial"/>
                <w:bCs/>
                <w:color w:val="000000"/>
                <w:sz w:val="16"/>
                <w:szCs w:val="16"/>
                <w:shd w:val="clear" w:color="auto" w:fill="FFFFFF"/>
              </w:rPr>
            </w:pPr>
            <w:r w:rsidRPr="00982266">
              <w:rPr>
                <w:rFonts w:ascii="Arial" w:eastAsia="Times New Roman" w:hAnsi="Arial" w:cs="Arial"/>
                <w:bCs/>
                <w:sz w:val="16"/>
                <w:szCs w:val="16"/>
                <w:lang w:eastAsia="es-CO"/>
              </w:rPr>
              <w:t>POMCA</w:t>
            </w:r>
          </w:p>
        </w:tc>
        <w:tc>
          <w:tcPr>
            <w:tcW w:w="588" w:type="pct"/>
            <w:shd w:val="clear" w:color="auto" w:fill="FFFFFF"/>
            <w:vAlign w:val="center"/>
          </w:tcPr>
          <w:p w14:paraId="220014AE" w14:textId="77777777" w:rsidR="000E7189" w:rsidRPr="00982266" w:rsidRDefault="000E7189" w:rsidP="009E7E76">
            <w:pPr>
              <w:widowControl w:val="0"/>
              <w:spacing w:line="259" w:lineRule="auto"/>
              <w:jc w:val="center"/>
              <w:rPr>
                <w:rFonts w:ascii="Arial" w:hAnsi="Arial" w:cs="Arial"/>
                <w:bCs/>
                <w:color w:val="000000"/>
                <w:sz w:val="16"/>
                <w:szCs w:val="16"/>
                <w:shd w:val="clear" w:color="auto" w:fill="FFFFFF"/>
              </w:rPr>
            </w:pPr>
            <w:r w:rsidRPr="00982266">
              <w:rPr>
                <w:rFonts w:ascii="Arial" w:eastAsia="Times New Roman" w:hAnsi="Arial" w:cs="Arial"/>
                <w:bCs/>
                <w:sz w:val="16"/>
                <w:szCs w:val="16"/>
                <w:lang w:eastAsia="es-CO"/>
              </w:rPr>
              <w:t>CATEGORIA</w:t>
            </w:r>
          </w:p>
        </w:tc>
        <w:tc>
          <w:tcPr>
            <w:tcW w:w="396" w:type="pct"/>
            <w:shd w:val="clear" w:color="auto" w:fill="FFFFFF"/>
            <w:vAlign w:val="center"/>
          </w:tcPr>
          <w:p w14:paraId="782616F9" w14:textId="16AF81F0" w:rsidR="000E7189" w:rsidRPr="00982266" w:rsidRDefault="000E7189" w:rsidP="009E7E76">
            <w:pPr>
              <w:widowControl w:val="0"/>
              <w:spacing w:line="259" w:lineRule="auto"/>
              <w:jc w:val="center"/>
              <w:rPr>
                <w:rFonts w:ascii="Arial" w:hAnsi="Arial" w:cs="Arial"/>
                <w:bCs/>
                <w:color w:val="000000"/>
                <w:sz w:val="16"/>
                <w:szCs w:val="16"/>
                <w:shd w:val="clear" w:color="auto" w:fill="FFFFFF"/>
              </w:rPr>
            </w:pPr>
            <w:r w:rsidRPr="000E7189">
              <w:rPr>
                <w:rFonts w:ascii="Arial" w:hAnsi="Arial" w:cs="Arial"/>
                <w:bCs/>
                <w:color w:val="000000"/>
                <w:sz w:val="16"/>
                <w:szCs w:val="16"/>
                <w:shd w:val="clear" w:color="auto" w:fill="FFFFFF"/>
              </w:rPr>
              <w:t xml:space="preserve">COD </w:t>
            </w:r>
            <w:r w:rsidRPr="00982266">
              <w:rPr>
                <w:rFonts w:ascii="Arial" w:hAnsi="Arial" w:cs="Arial"/>
                <w:bCs/>
                <w:color w:val="000000"/>
                <w:sz w:val="16"/>
                <w:szCs w:val="16"/>
                <w:shd w:val="clear" w:color="auto" w:fill="FFFFFF"/>
              </w:rPr>
              <w:t>Z</w:t>
            </w:r>
            <w:r w:rsidRPr="00982266">
              <w:rPr>
                <w:rFonts w:ascii="Arial" w:hAnsi="Arial"/>
                <w:bCs/>
                <w:color w:val="000000"/>
                <w:sz w:val="16"/>
                <w:szCs w:val="16"/>
                <w:shd w:val="clear" w:color="auto" w:fill="FFFFFF"/>
              </w:rPr>
              <w:t>ONA</w:t>
            </w:r>
          </w:p>
        </w:tc>
        <w:tc>
          <w:tcPr>
            <w:tcW w:w="1763" w:type="pct"/>
            <w:shd w:val="clear" w:color="auto" w:fill="FFFFFF"/>
            <w:vAlign w:val="center"/>
          </w:tcPr>
          <w:p w14:paraId="684C3E66" w14:textId="70651176" w:rsidR="000E7189" w:rsidRPr="00982266" w:rsidRDefault="000E7189" w:rsidP="009E7E76">
            <w:pPr>
              <w:widowControl w:val="0"/>
              <w:spacing w:line="259" w:lineRule="auto"/>
              <w:jc w:val="center"/>
              <w:rPr>
                <w:rFonts w:ascii="Arial" w:eastAsia="Times New Roman" w:hAnsi="Arial" w:cs="Arial"/>
                <w:bCs/>
                <w:sz w:val="16"/>
                <w:szCs w:val="16"/>
                <w:lang w:eastAsia="es-CO"/>
              </w:rPr>
            </w:pPr>
            <w:r w:rsidRPr="00982266">
              <w:rPr>
                <w:rFonts w:ascii="Arial" w:eastAsia="Times New Roman" w:hAnsi="Arial" w:cs="Arial"/>
                <w:bCs/>
                <w:sz w:val="16"/>
                <w:szCs w:val="16"/>
                <w:lang w:eastAsia="es-CO"/>
              </w:rPr>
              <w:t>TIPO DE ZONIFICACIÓN</w:t>
            </w:r>
          </w:p>
        </w:tc>
        <w:tc>
          <w:tcPr>
            <w:tcW w:w="378" w:type="pct"/>
            <w:shd w:val="clear" w:color="auto" w:fill="FFFFFF"/>
            <w:vAlign w:val="center"/>
          </w:tcPr>
          <w:p w14:paraId="5002B747" w14:textId="00CF4F24" w:rsidR="000E7189" w:rsidRPr="00982266" w:rsidRDefault="000E7189" w:rsidP="009E7E76">
            <w:pPr>
              <w:widowControl w:val="0"/>
              <w:spacing w:line="259" w:lineRule="auto"/>
              <w:jc w:val="center"/>
              <w:rPr>
                <w:rFonts w:ascii="Arial" w:eastAsia="Times New Roman" w:hAnsi="Arial" w:cs="Arial"/>
                <w:bCs/>
                <w:sz w:val="16"/>
                <w:szCs w:val="16"/>
                <w:lang w:eastAsia="es-CO"/>
              </w:rPr>
            </w:pPr>
            <w:r w:rsidRPr="000E7189">
              <w:rPr>
                <w:rFonts w:ascii="Arial" w:eastAsia="Times New Roman" w:hAnsi="Arial" w:cs="Arial"/>
                <w:bCs/>
                <w:sz w:val="16"/>
                <w:szCs w:val="16"/>
                <w:lang w:eastAsia="es-CO"/>
              </w:rPr>
              <w:t>ÁREA Ha.</w:t>
            </w:r>
          </w:p>
        </w:tc>
        <w:tc>
          <w:tcPr>
            <w:tcW w:w="626" w:type="pct"/>
            <w:shd w:val="clear" w:color="auto" w:fill="FFFFFF"/>
            <w:vAlign w:val="center"/>
          </w:tcPr>
          <w:p w14:paraId="16F88344" w14:textId="39052D81" w:rsidR="000E7189" w:rsidRPr="000E7189" w:rsidRDefault="000E7189" w:rsidP="009E7E76">
            <w:pPr>
              <w:widowControl w:val="0"/>
              <w:spacing w:line="259" w:lineRule="auto"/>
              <w:jc w:val="center"/>
              <w:rPr>
                <w:rFonts w:ascii="Arial" w:eastAsia="Times New Roman" w:hAnsi="Arial" w:cs="Arial"/>
                <w:bCs/>
                <w:sz w:val="16"/>
                <w:szCs w:val="16"/>
                <w:lang w:eastAsia="es-CO"/>
              </w:rPr>
            </w:pPr>
            <w:r w:rsidRPr="000E7189">
              <w:rPr>
                <w:rFonts w:ascii="Arial" w:eastAsia="Times New Roman" w:hAnsi="Arial" w:cs="Arial"/>
                <w:bCs/>
                <w:sz w:val="16"/>
                <w:szCs w:val="16"/>
                <w:lang w:eastAsia="es-CO"/>
              </w:rPr>
              <w:t>PORCENTAJE</w:t>
            </w:r>
          </w:p>
        </w:tc>
      </w:tr>
      <w:tr w:rsidR="00551E4F" w:rsidRPr="000E7189" w14:paraId="4A4024E2" w14:textId="77777777" w:rsidTr="00D23595">
        <w:trPr>
          <w:trHeight w:val="215"/>
          <w:jc w:val="center"/>
        </w:trPr>
        <w:tc>
          <w:tcPr>
            <w:tcW w:w="861" w:type="pct"/>
            <w:vAlign w:val="center"/>
          </w:tcPr>
          <w:p w14:paraId="70896C16" w14:textId="066DD797" w:rsidR="00551E4F" w:rsidRPr="000E7189" w:rsidRDefault="00551E4F" w:rsidP="00551E4F">
            <w:pPr>
              <w:widowControl w:val="0"/>
              <w:spacing w:line="259" w:lineRule="auto"/>
              <w:jc w:val="center"/>
              <w:rPr>
                <w:rFonts w:ascii="Arial" w:hAnsi="Arial" w:cs="Arial"/>
                <w:b w:val="0"/>
                <w:color w:val="000000"/>
                <w:sz w:val="16"/>
                <w:szCs w:val="16"/>
                <w:shd w:val="clear" w:color="auto" w:fill="FFFFFF"/>
              </w:rPr>
            </w:pPr>
            <w:r w:rsidRPr="000E7189">
              <w:rPr>
                <w:rFonts w:ascii="Arial" w:hAnsi="Arial" w:cs="Arial"/>
                <w:b w:val="0"/>
                <w:color w:val="000000"/>
                <w:sz w:val="16"/>
                <w:szCs w:val="16"/>
                <w:shd w:val="clear" w:color="auto" w:fill="FFFFFF"/>
              </w:rPr>
              <w:t>0</w:t>
            </w:r>
            <w:r>
              <w:rPr>
                <w:rFonts w:ascii="Arial" w:hAnsi="Arial" w:cs="Arial"/>
                <w:b w:val="0"/>
                <w:color w:val="000000"/>
                <w:sz w:val="16"/>
                <w:szCs w:val="16"/>
                <w:shd w:val="clear" w:color="auto" w:fill="FFFFFF"/>
              </w:rPr>
              <w:t>1</w:t>
            </w:r>
            <w:r w:rsidRPr="000E7189">
              <w:rPr>
                <w:rFonts w:ascii="Arial" w:hAnsi="Arial" w:cs="Arial"/>
                <w:b w:val="0"/>
                <w:color w:val="000000"/>
                <w:sz w:val="16"/>
                <w:szCs w:val="16"/>
                <w:shd w:val="clear" w:color="auto" w:fill="FFFFFF"/>
              </w:rPr>
              <w:t>-0</w:t>
            </w:r>
            <w:r>
              <w:rPr>
                <w:rFonts w:ascii="Arial" w:hAnsi="Arial" w:cs="Arial"/>
                <w:b w:val="0"/>
                <w:color w:val="000000"/>
                <w:sz w:val="16"/>
                <w:szCs w:val="16"/>
                <w:shd w:val="clear" w:color="auto" w:fill="FFFFFF"/>
              </w:rPr>
              <w:t>9</w:t>
            </w:r>
            <w:r w:rsidRPr="000E7189">
              <w:rPr>
                <w:rFonts w:ascii="Arial" w:hAnsi="Arial" w:cs="Arial"/>
                <w:b w:val="0"/>
                <w:color w:val="000000"/>
                <w:sz w:val="16"/>
                <w:szCs w:val="16"/>
                <w:shd w:val="clear" w:color="auto" w:fill="FFFFFF"/>
              </w:rPr>
              <w:t>-00</w:t>
            </w:r>
            <w:r>
              <w:rPr>
                <w:rFonts w:ascii="Arial" w:hAnsi="Arial" w:cs="Arial"/>
                <w:b w:val="0"/>
                <w:color w:val="000000"/>
                <w:sz w:val="16"/>
                <w:szCs w:val="16"/>
                <w:shd w:val="clear" w:color="auto" w:fill="FFFFFF"/>
              </w:rPr>
              <w:t>12</w:t>
            </w:r>
            <w:r w:rsidRPr="000E7189">
              <w:rPr>
                <w:rFonts w:ascii="Arial" w:hAnsi="Arial" w:cs="Arial"/>
                <w:b w:val="0"/>
                <w:color w:val="000000"/>
                <w:sz w:val="16"/>
                <w:szCs w:val="16"/>
                <w:shd w:val="clear" w:color="auto" w:fill="FFFFFF"/>
              </w:rPr>
              <w:t>-0</w:t>
            </w:r>
            <w:r>
              <w:rPr>
                <w:rFonts w:ascii="Arial" w:hAnsi="Arial" w:cs="Arial"/>
                <w:b w:val="0"/>
                <w:color w:val="000000"/>
                <w:sz w:val="16"/>
                <w:szCs w:val="16"/>
                <w:shd w:val="clear" w:color="auto" w:fill="FFFFFF"/>
              </w:rPr>
              <w:t>012</w:t>
            </w:r>
            <w:r w:rsidRPr="000E7189">
              <w:rPr>
                <w:rFonts w:ascii="Arial" w:hAnsi="Arial" w:cs="Arial"/>
                <w:b w:val="0"/>
                <w:color w:val="000000"/>
                <w:sz w:val="16"/>
                <w:szCs w:val="16"/>
                <w:shd w:val="clear" w:color="auto" w:fill="FFFFFF"/>
              </w:rPr>
              <w:t>-00</w:t>
            </w:r>
            <w:r>
              <w:rPr>
                <w:rFonts w:ascii="Arial" w:hAnsi="Arial" w:cs="Arial"/>
                <w:b w:val="0"/>
                <w:color w:val="000000"/>
                <w:sz w:val="16"/>
                <w:szCs w:val="16"/>
                <w:shd w:val="clear" w:color="auto" w:fill="FFFFFF"/>
              </w:rPr>
              <w:t>0</w:t>
            </w:r>
          </w:p>
        </w:tc>
        <w:tc>
          <w:tcPr>
            <w:tcW w:w="388" w:type="pct"/>
            <w:vAlign w:val="center"/>
          </w:tcPr>
          <w:p w14:paraId="63047EE7" w14:textId="237132A0" w:rsidR="00551E4F" w:rsidRPr="00982266" w:rsidRDefault="00551E4F" w:rsidP="00551E4F">
            <w:pPr>
              <w:widowControl w:val="0"/>
              <w:spacing w:line="259" w:lineRule="auto"/>
              <w:jc w:val="center"/>
              <w:rPr>
                <w:rFonts w:ascii="Arial" w:eastAsia="Times New Roman" w:hAnsi="Arial" w:cs="Arial"/>
                <w:b w:val="0"/>
                <w:sz w:val="16"/>
                <w:szCs w:val="16"/>
                <w:lang w:eastAsia="es-CO"/>
              </w:rPr>
            </w:pPr>
            <w:r w:rsidRPr="00982266">
              <w:rPr>
                <w:rFonts w:ascii="Arial" w:eastAsia="Times New Roman" w:hAnsi="Arial" w:cs="Arial"/>
                <w:b w:val="0"/>
                <w:sz w:val="16"/>
                <w:szCs w:val="16"/>
                <w:lang w:eastAsia="es-CO"/>
              </w:rPr>
              <w:t xml:space="preserve">POMCA </w:t>
            </w:r>
            <w:r>
              <w:rPr>
                <w:rFonts w:ascii="Arial" w:eastAsia="Times New Roman" w:hAnsi="Arial" w:cs="Arial"/>
                <w:b w:val="0"/>
                <w:sz w:val="16"/>
                <w:szCs w:val="16"/>
                <w:lang w:eastAsia="es-CO"/>
              </w:rPr>
              <w:t>Alto Lebrija</w:t>
            </w:r>
          </w:p>
        </w:tc>
        <w:tc>
          <w:tcPr>
            <w:tcW w:w="588" w:type="pct"/>
            <w:vAlign w:val="center"/>
          </w:tcPr>
          <w:p w14:paraId="3E8547F3" w14:textId="7AC39EE7" w:rsidR="00551E4F" w:rsidRPr="00982266" w:rsidRDefault="00551E4F" w:rsidP="00551E4F">
            <w:pPr>
              <w:widowControl w:val="0"/>
              <w:spacing w:line="259" w:lineRule="auto"/>
              <w:jc w:val="center"/>
              <w:rPr>
                <w:rFonts w:ascii="Arial" w:eastAsia="Times New Roman" w:hAnsi="Arial" w:cs="Arial"/>
                <w:b w:val="0"/>
                <w:color w:val="000000"/>
                <w:sz w:val="16"/>
                <w:szCs w:val="16"/>
                <w:lang w:eastAsia="es-CO"/>
              </w:rPr>
            </w:pPr>
            <w:r w:rsidRPr="00982266">
              <w:rPr>
                <w:rFonts w:ascii="Arial" w:eastAsia="Times New Roman" w:hAnsi="Arial" w:cs="Arial"/>
                <w:b w:val="0"/>
                <w:color w:val="000000"/>
                <w:sz w:val="16"/>
                <w:szCs w:val="16"/>
                <w:lang w:eastAsia="es-CO"/>
              </w:rPr>
              <w:t>Conservación y Protección Ambiental</w:t>
            </w:r>
          </w:p>
        </w:tc>
        <w:tc>
          <w:tcPr>
            <w:tcW w:w="396" w:type="pct"/>
            <w:shd w:val="clear" w:color="000000" w:fill="00E6A9"/>
            <w:vAlign w:val="center"/>
          </w:tcPr>
          <w:p w14:paraId="1A25FB90" w14:textId="3D322A0B" w:rsidR="00551E4F" w:rsidRPr="006444AB" w:rsidRDefault="00551E4F" w:rsidP="00551E4F">
            <w:pPr>
              <w:widowControl w:val="0"/>
              <w:spacing w:line="259" w:lineRule="auto"/>
              <w:jc w:val="center"/>
              <w:rPr>
                <w:rFonts w:ascii="Arial" w:hAnsi="Arial" w:cs="Arial"/>
                <w:bCs/>
                <w:sz w:val="16"/>
                <w:szCs w:val="16"/>
                <w:lang w:val="es-ES"/>
              </w:rPr>
            </w:pPr>
            <w:r w:rsidRPr="006444AB">
              <w:rPr>
                <w:rFonts w:ascii="Arial" w:eastAsia="Times New Roman" w:hAnsi="Arial" w:cs="Arial"/>
                <w:bCs/>
                <w:sz w:val="16"/>
                <w:szCs w:val="16"/>
                <w:lang w:eastAsia="es-CO"/>
              </w:rPr>
              <w:t>C-18</w:t>
            </w:r>
          </w:p>
        </w:tc>
        <w:tc>
          <w:tcPr>
            <w:tcW w:w="1763" w:type="pct"/>
            <w:shd w:val="clear" w:color="000000" w:fill="FFFFFF"/>
            <w:vAlign w:val="center"/>
          </w:tcPr>
          <w:p w14:paraId="3E308553" w14:textId="3D409A2F" w:rsidR="00551E4F" w:rsidRPr="00E477F5" w:rsidRDefault="00551E4F" w:rsidP="00551E4F">
            <w:pPr>
              <w:widowControl w:val="0"/>
              <w:spacing w:line="259" w:lineRule="auto"/>
              <w:jc w:val="center"/>
              <w:rPr>
                <w:rFonts w:ascii="Arial" w:hAnsi="Arial" w:cs="Arial"/>
                <w:b w:val="0"/>
                <w:bCs/>
                <w:sz w:val="16"/>
                <w:szCs w:val="16"/>
                <w:shd w:val="clear" w:color="auto" w:fill="FFFFFF"/>
              </w:rPr>
            </w:pPr>
            <w:r w:rsidRPr="00E477F5">
              <w:rPr>
                <w:rFonts w:ascii="Arial" w:eastAsia="Times New Roman" w:hAnsi="Arial" w:cs="Arial"/>
                <w:b w:val="0"/>
                <w:bCs/>
                <w:color w:val="000000"/>
                <w:sz w:val="16"/>
                <w:szCs w:val="16"/>
                <w:lang w:eastAsia="es-CO"/>
              </w:rPr>
              <w:t>Suelos de Protección Municipio de Bucaramanga</w:t>
            </w:r>
          </w:p>
        </w:tc>
        <w:tc>
          <w:tcPr>
            <w:tcW w:w="378" w:type="pct"/>
            <w:vAlign w:val="center"/>
          </w:tcPr>
          <w:p w14:paraId="66779BF7" w14:textId="40356037" w:rsidR="00551E4F" w:rsidRPr="00E477F5" w:rsidRDefault="00551E4F" w:rsidP="00551E4F">
            <w:pPr>
              <w:widowControl w:val="0"/>
              <w:spacing w:line="259" w:lineRule="auto"/>
              <w:jc w:val="center"/>
              <w:rPr>
                <w:rFonts w:ascii="Arial" w:hAnsi="Arial" w:cs="Arial"/>
                <w:b w:val="0"/>
                <w:bCs/>
                <w:color w:val="000000"/>
                <w:sz w:val="16"/>
                <w:szCs w:val="16"/>
                <w:shd w:val="clear" w:color="auto" w:fill="FFFFFF"/>
              </w:rPr>
            </w:pPr>
            <w:r w:rsidRPr="00E477F5">
              <w:rPr>
                <w:rFonts w:ascii="Arial" w:hAnsi="Arial" w:cs="Arial"/>
                <w:b w:val="0"/>
                <w:bCs/>
                <w:color w:val="000000"/>
                <w:sz w:val="16"/>
                <w:szCs w:val="16"/>
                <w:shd w:val="clear" w:color="auto" w:fill="FFFFFF"/>
              </w:rPr>
              <w:t>1</w:t>
            </w:r>
            <w:r w:rsidR="00E477F5">
              <w:rPr>
                <w:rFonts w:ascii="Arial" w:hAnsi="Arial" w:cs="Arial"/>
                <w:b w:val="0"/>
                <w:bCs/>
                <w:color w:val="000000"/>
                <w:sz w:val="16"/>
                <w:szCs w:val="16"/>
                <w:shd w:val="clear" w:color="auto" w:fill="FFFFFF"/>
              </w:rPr>
              <w:t>,78</w:t>
            </w:r>
          </w:p>
        </w:tc>
        <w:tc>
          <w:tcPr>
            <w:tcW w:w="626" w:type="pct"/>
            <w:vAlign w:val="center"/>
          </w:tcPr>
          <w:p w14:paraId="15A73244" w14:textId="6AF2619E" w:rsidR="00551E4F" w:rsidRPr="00E477F5" w:rsidRDefault="00551E4F" w:rsidP="00551E4F">
            <w:pPr>
              <w:widowControl w:val="0"/>
              <w:spacing w:line="259" w:lineRule="auto"/>
              <w:jc w:val="center"/>
              <w:rPr>
                <w:rFonts w:ascii="Arial" w:eastAsia="Times New Roman" w:hAnsi="Arial" w:cs="Arial"/>
                <w:b w:val="0"/>
                <w:bCs/>
                <w:color w:val="000000"/>
                <w:sz w:val="16"/>
                <w:szCs w:val="16"/>
                <w:lang w:eastAsia="es-CO"/>
              </w:rPr>
            </w:pPr>
            <w:r w:rsidRPr="00E477F5">
              <w:rPr>
                <w:rFonts w:ascii="Arial" w:eastAsia="Times New Roman" w:hAnsi="Arial" w:cs="Arial"/>
                <w:b w:val="0"/>
                <w:bCs/>
                <w:color w:val="000000"/>
                <w:sz w:val="16"/>
                <w:szCs w:val="16"/>
                <w:lang w:eastAsia="es-CO"/>
              </w:rPr>
              <w:t>1</w:t>
            </w:r>
            <w:r w:rsidR="00E477F5">
              <w:rPr>
                <w:rFonts w:ascii="Arial" w:eastAsia="Times New Roman" w:hAnsi="Arial" w:cs="Arial"/>
                <w:b w:val="0"/>
                <w:bCs/>
                <w:color w:val="000000"/>
                <w:sz w:val="16"/>
                <w:szCs w:val="16"/>
                <w:lang w:eastAsia="es-CO"/>
              </w:rPr>
              <w:t>00,00</w:t>
            </w:r>
          </w:p>
        </w:tc>
      </w:tr>
      <w:tr w:rsidR="00014882" w:rsidRPr="000E7189" w14:paraId="00A022CC" w14:textId="58165E70" w:rsidTr="009E7E76">
        <w:trPr>
          <w:trHeight w:val="113"/>
          <w:jc w:val="center"/>
        </w:trPr>
        <w:tc>
          <w:tcPr>
            <w:tcW w:w="3996" w:type="pct"/>
            <w:gridSpan w:val="5"/>
            <w:vAlign w:val="center"/>
          </w:tcPr>
          <w:p w14:paraId="5E3C46C8" w14:textId="27D03BB4" w:rsidR="00014882" w:rsidRPr="003B6A4E" w:rsidRDefault="00014882" w:rsidP="009E7E76">
            <w:pPr>
              <w:widowControl w:val="0"/>
              <w:spacing w:line="259" w:lineRule="auto"/>
              <w:jc w:val="center"/>
              <w:rPr>
                <w:rFonts w:ascii="Arial" w:eastAsia="Times New Roman" w:hAnsi="Arial" w:cs="Arial"/>
                <w:bCs/>
                <w:color w:val="000000"/>
                <w:sz w:val="16"/>
                <w:szCs w:val="16"/>
                <w:lang w:eastAsia="es-CO"/>
              </w:rPr>
            </w:pPr>
            <w:r w:rsidRPr="003B6A4E">
              <w:rPr>
                <w:rFonts w:ascii="Arial" w:eastAsia="Times New Roman" w:hAnsi="Arial" w:cs="Arial"/>
                <w:bCs/>
                <w:color w:val="000000"/>
                <w:sz w:val="16"/>
                <w:szCs w:val="16"/>
                <w:lang w:eastAsia="es-CO"/>
              </w:rPr>
              <w:t>TOTAL</w:t>
            </w:r>
          </w:p>
        </w:tc>
        <w:tc>
          <w:tcPr>
            <w:tcW w:w="378" w:type="pct"/>
            <w:vAlign w:val="center"/>
          </w:tcPr>
          <w:p w14:paraId="2F9BA1EF" w14:textId="5D1BA69B" w:rsidR="00014882" w:rsidRPr="003B6A4E" w:rsidRDefault="00EF6802" w:rsidP="009E7E76">
            <w:pPr>
              <w:widowControl w:val="0"/>
              <w:spacing w:line="259" w:lineRule="auto"/>
              <w:jc w:val="center"/>
              <w:rPr>
                <w:rFonts w:ascii="Arial" w:eastAsia="Times New Roman" w:hAnsi="Arial" w:cs="Arial"/>
                <w:bCs/>
                <w:color w:val="000000"/>
                <w:sz w:val="16"/>
                <w:szCs w:val="16"/>
                <w:lang w:eastAsia="es-CO"/>
              </w:rPr>
            </w:pPr>
            <w:r>
              <w:rPr>
                <w:rFonts w:ascii="Arial" w:eastAsia="Times New Roman" w:hAnsi="Arial" w:cs="Arial"/>
                <w:bCs/>
                <w:color w:val="000000"/>
                <w:sz w:val="16"/>
                <w:szCs w:val="16"/>
                <w:lang w:eastAsia="es-CO"/>
              </w:rPr>
              <w:t>1,78</w:t>
            </w:r>
          </w:p>
        </w:tc>
        <w:tc>
          <w:tcPr>
            <w:tcW w:w="626" w:type="pct"/>
            <w:vAlign w:val="center"/>
          </w:tcPr>
          <w:p w14:paraId="6D31D2CA" w14:textId="1622B60F" w:rsidR="00014882" w:rsidRPr="000E7189" w:rsidRDefault="00014882" w:rsidP="009E7E76">
            <w:pPr>
              <w:widowControl w:val="0"/>
              <w:spacing w:line="259" w:lineRule="auto"/>
              <w:jc w:val="center"/>
              <w:rPr>
                <w:rFonts w:ascii="Arial" w:eastAsia="Times New Roman" w:hAnsi="Arial" w:cs="Arial"/>
                <w:b w:val="0"/>
                <w:color w:val="000000"/>
                <w:sz w:val="16"/>
                <w:szCs w:val="16"/>
                <w:lang w:eastAsia="es-CO"/>
              </w:rPr>
            </w:pPr>
            <w:r>
              <w:rPr>
                <w:rFonts w:ascii="Arial" w:eastAsia="Times New Roman" w:hAnsi="Arial" w:cs="Arial"/>
                <w:b w:val="0"/>
                <w:color w:val="000000"/>
                <w:sz w:val="16"/>
                <w:szCs w:val="16"/>
                <w:lang w:eastAsia="es-CO"/>
              </w:rPr>
              <w:t>100,00</w:t>
            </w:r>
          </w:p>
        </w:tc>
      </w:tr>
      <w:bookmarkEnd w:id="1"/>
    </w:tbl>
    <w:p w14:paraId="1D401081" w14:textId="77777777" w:rsidR="004452CD" w:rsidRPr="004452CD" w:rsidRDefault="004452CD" w:rsidP="00654C50">
      <w:pPr>
        <w:jc w:val="both"/>
        <w:rPr>
          <w:rFonts w:ascii="Arial" w:hAnsi="Arial" w:cs="Arial"/>
          <w:bCs/>
          <w:sz w:val="20"/>
          <w:szCs w:val="20"/>
          <w:lang w:val="es-ES"/>
        </w:rPr>
      </w:pPr>
    </w:p>
    <w:p w14:paraId="6B3FC54F" w14:textId="77777777" w:rsidR="004452CD" w:rsidRPr="004452CD" w:rsidRDefault="004452CD" w:rsidP="00654C50">
      <w:pPr>
        <w:jc w:val="both"/>
        <w:rPr>
          <w:rFonts w:ascii="Arial" w:hAnsi="Arial" w:cs="Arial"/>
          <w:bCs/>
          <w:sz w:val="20"/>
          <w:szCs w:val="20"/>
          <w:lang w:val="es-ES"/>
        </w:rPr>
      </w:pPr>
    </w:p>
    <w:tbl>
      <w:tblPr>
        <w:tblStyle w:val="Tablaconcuadrcula"/>
        <w:tblW w:w="5567" w:type="pct"/>
        <w:jc w:val="center"/>
        <w:tblLook w:val="04A0" w:firstRow="1" w:lastRow="0" w:firstColumn="1" w:lastColumn="0" w:noHBand="0" w:noVBand="1"/>
      </w:tblPr>
      <w:tblGrid>
        <w:gridCol w:w="1800"/>
        <w:gridCol w:w="812"/>
        <w:gridCol w:w="1230"/>
        <w:gridCol w:w="828"/>
        <w:gridCol w:w="3688"/>
        <w:gridCol w:w="791"/>
        <w:gridCol w:w="1310"/>
      </w:tblGrid>
      <w:tr w:rsidR="004452CD" w:rsidRPr="000E7189" w14:paraId="785D70B2" w14:textId="77777777" w:rsidTr="004B6DBB">
        <w:trPr>
          <w:trHeight w:val="113"/>
          <w:tblHeader/>
          <w:jc w:val="center"/>
        </w:trPr>
        <w:tc>
          <w:tcPr>
            <w:tcW w:w="861" w:type="pct"/>
            <w:shd w:val="clear" w:color="auto" w:fill="FFFFFF"/>
            <w:vAlign w:val="center"/>
          </w:tcPr>
          <w:p w14:paraId="07887326" w14:textId="77777777" w:rsidR="004452CD" w:rsidRPr="00982266" w:rsidRDefault="004452CD" w:rsidP="004B6DBB">
            <w:pPr>
              <w:widowControl w:val="0"/>
              <w:spacing w:line="259" w:lineRule="auto"/>
              <w:jc w:val="center"/>
              <w:rPr>
                <w:rFonts w:ascii="Arial" w:hAnsi="Arial" w:cs="Arial"/>
                <w:bCs/>
                <w:color w:val="000000"/>
                <w:sz w:val="16"/>
                <w:szCs w:val="16"/>
                <w:shd w:val="clear" w:color="auto" w:fill="FFFFFF"/>
              </w:rPr>
            </w:pPr>
            <w:r w:rsidRPr="000E7189">
              <w:rPr>
                <w:rFonts w:ascii="Arial" w:hAnsi="Arial" w:cs="Arial"/>
                <w:bCs/>
                <w:color w:val="000000"/>
                <w:sz w:val="16"/>
                <w:szCs w:val="16"/>
                <w:shd w:val="clear" w:color="auto" w:fill="FFFFFF"/>
              </w:rPr>
              <w:t>N° PREDIAL</w:t>
            </w:r>
          </w:p>
        </w:tc>
        <w:tc>
          <w:tcPr>
            <w:tcW w:w="388" w:type="pct"/>
            <w:shd w:val="clear" w:color="auto" w:fill="FFFFFF"/>
            <w:vAlign w:val="center"/>
          </w:tcPr>
          <w:p w14:paraId="18B631E7" w14:textId="77777777" w:rsidR="004452CD" w:rsidRPr="00982266" w:rsidRDefault="004452CD" w:rsidP="004B6DBB">
            <w:pPr>
              <w:widowControl w:val="0"/>
              <w:spacing w:line="259" w:lineRule="auto"/>
              <w:jc w:val="center"/>
              <w:rPr>
                <w:rFonts w:ascii="Arial" w:hAnsi="Arial" w:cs="Arial"/>
                <w:bCs/>
                <w:color w:val="000000"/>
                <w:sz w:val="16"/>
                <w:szCs w:val="16"/>
                <w:shd w:val="clear" w:color="auto" w:fill="FFFFFF"/>
              </w:rPr>
            </w:pPr>
            <w:r w:rsidRPr="00982266">
              <w:rPr>
                <w:rFonts w:ascii="Arial" w:eastAsia="Times New Roman" w:hAnsi="Arial" w:cs="Arial"/>
                <w:bCs/>
                <w:sz w:val="16"/>
                <w:szCs w:val="16"/>
                <w:lang w:eastAsia="es-CO"/>
              </w:rPr>
              <w:t>POMCA</w:t>
            </w:r>
          </w:p>
        </w:tc>
        <w:tc>
          <w:tcPr>
            <w:tcW w:w="588" w:type="pct"/>
            <w:shd w:val="clear" w:color="auto" w:fill="FFFFFF"/>
            <w:vAlign w:val="center"/>
          </w:tcPr>
          <w:p w14:paraId="20A52E22" w14:textId="77777777" w:rsidR="004452CD" w:rsidRPr="00982266" w:rsidRDefault="004452CD" w:rsidP="004B6DBB">
            <w:pPr>
              <w:widowControl w:val="0"/>
              <w:spacing w:line="259" w:lineRule="auto"/>
              <w:jc w:val="center"/>
              <w:rPr>
                <w:rFonts w:ascii="Arial" w:hAnsi="Arial" w:cs="Arial"/>
                <w:bCs/>
                <w:color w:val="000000"/>
                <w:sz w:val="16"/>
                <w:szCs w:val="16"/>
                <w:shd w:val="clear" w:color="auto" w:fill="FFFFFF"/>
              </w:rPr>
            </w:pPr>
            <w:r w:rsidRPr="00982266">
              <w:rPr>
                <w:rFonts w:ascii="Arial" w:eastAsia="Times New Roman" w:hAnsi="Arial" w:cs="Arial"/>
                <w:bCs/>
                <w:sz w:val="16"/>
                <w:szCs w:val="16"/>
                <w:lang w:eastAsia="es-CO"/>
              </w:rPr>
              <w:t>CATEGORIA</w:t>
            </w:r>
          </w:p>
        </w:tc>
        <w:tc>
          <w:tcPr>
            <w:tcW w:w="396" w:type="pct"/>
            <w:shd w:val="clear" w:color="auto" w:fill="FFFFFF"/>
            <w:vAlign w:val="center"/>
          </w:tcPr>
          <w:p w14:paraId="7BE77F34" w14:textId="77777777" w:rsidR="004452CD" w:rsidRPr="00982266" w:rsidRDefault="004452CD" w:rsidP="004B6DBB">
            <w:pPr>
              <w:widowControl w:val="0"/>
              <w:spacing w:line="259" w:lineRule="auto"/>
              <w:jc w:val="center"/>
              <w:rPr>
                <w:rFonts w:ascii="Arial" w:hAnsi="Arial" w:cs="Arial"/>
                <w:bCs/>
                <w:color w:val="000000"/>
                <w:sz w:val="16"/>
                <w:szCs w:val="16"/>
                <w:shd w:val="clear" w:color="auto" w:fill="FFFFFF"/>
              </w:rPr>
            </w:pPr>
            <w:r w:rsidRPr="000E7189">
              <w:rPr>
                <w:rFonts w:ascii="Arial" w:hAnsi="Arial" w:cs="Arial"/>
                <w:bCs/>
                <w:color w:val="000000"/>
                <w:sz w:val="16"/>
                <w:szCs w:val="16"/>
                <w:shd w:val="clear" w:color="auto" w:fill="FFFFFF"/>
              </w:rPr>
              <w:t xml:space="preserve">COD </w:t>
            </w:r>
            <w:r w:rsidRPr="00982266">
              <w:rPr>
                <w:rFonts w:ascii="Arial" w:hAnsi="Arial" w:cs="Arial"/>
                <w:bCs/>
                <w:color w:val="000000"/>
                <w:sz w:val="16"/>
                <w:szCs w:val="16"/>
                <w:shd w:val="clear" w:color="auto" w:fill="FFFFFF"/>
              </w:rPr>
              <w:t>Z</w:t>
            </w:r>
            <w:r w:rsidRPr="00982266">
              <w:rPr>
                <w:rFonts w:ascii="Arial" w:hAnsi="Arial"/>
                <w:bCs/>
                <w:color w:val="000000"/>
                <w:sz w:val="16"/>
                <w:szCs w:val="16"/>
                <w:shd w:val="clear" w:color="auto" w:fill="FFFFFF"/>
              </w:rPr>
              <w:t>ONA</w:t>
            </w:r>
          </w:p>
        </w:tc>
        <w:tc>
          <w:tcPr>
            <w:tcW w:w="1763" w:type="pct"/>
            <w:shd w:val="clear" w:color="auto" w:fill="FFFFFF"/>
            <w:vAlign w:val="center"/>
          </w:tcPr>
          <w:p w14:paraId="7B07D836" w14:textId="77777777" w:rsidR="004452CD" w:rsidRPr="00982266" w:rsidRDefault="004452CD" w:rsidP="004B6DBB">
            <w:pPr>
              <w:widowControl w:val="0"/>
              <w:spacing w:line="259" w:lineRule="auto"/>
              <w:jc w:val="center"/>
              <w:rPr>
                <w:rFonts w:ascii="Arial" w:eastAsia="Times New Roman" w:hAnsi="Arial" w:cs="Arial"/>
                <w:bCs/>
                <w:sz w:val="16"/>
                <w:szCs w:val="16"/>
                <w:lang w:eastAsia="es-CO"/>
              </w:rPr>
            </w:pPr>
            <w:r w:rsidRPr="00982266">
              <w:rPr>
                <w:rFonts w:ascii="Arial" w:eastAsia="Times New Roman" w:hAnsi="Arial" w:cs="Arial"/>
                <w:bCs/>
                <w:sz w:val="16"/>
                <w:szCs w:val="16"/>
                <w:lang w:eastAsia="es-CO"/>
              </w:rPr>
              <w:t>TIPO DE ZONIFICACIÓN</w:t>
            </w:r>
          </w:p>
        </w:tc>
        <w:tc>
          <w:tcPr>
            <w:tcW w:w="378" w:type="pct"/>
            <w:shd w:val="clear" w:color="auto" w:fill="FFFFFF"/>
            <w:vAlign w:val="center"/>
          </w:tcPr>
          <w:p w14:paraId="76FE863A" w14:textId="77777777" w:rsidR="004452CD" w:rsidRPr="00982266" w:rsidRDefault="004452CD" w:rsidP="004B6DBB">
            <w:pPr>
              <w:widowControl w:val="0"/>
              <w:spacing w:line="259" w:lineRule="auto"/>
              <w:jc w:val="center"/>
              <w:rPr>
                <w:rFonts w:ascii="Arial" w:eastAsia="Times New Roman" w:hAnsi="Arial" w:cs="Arial"/>
                <w:bCs/>
                <w:sz w:val="16"/>
                <w:szCs w:val="16"/>
                <w:lang w:eastAsia="es-CO"/>
              </w:rPr>
            </w:pPr>
            <w:r w:rsidRPr="000E7189">
              <w:rPr>
                <w:rFonts w:ascii="Arial" w:eastAsia="Times New Roman" w:hAnsi="Arial" w:cs="Arial"/>
                <w:bCs/>
                <w:sz w:val="16"/>
                <w:szCs w:val="16"/>
                <w:lang w:eastAsia="es-CO"/>
              </w:rPr>
              <w:t>ÁREA Ha.</w:t>
            </w:r>
          </w:p>
        </w:tc>
        <w:tc>
          <w:tcPr>
            <w:tcW w:w="626" w:type="pct"/>
            <w:shd w:val="clear" w:color="auto" w:fill="FFFFFF"/>
            <w:vAlign w:val="center"/>
          </w:tcPr>
          <w:p w14:paraId="1D704D98" w14:textId="77777777" w:rsidR="004452CD" w:rsidRPr="000E7189" w:rsidRDefault="004452CD" w:rsidP="004B6DBB">
            <w:pPr>
              <w:widowControl w:val="0"/>
              <w:spacing w:line="259" w:lineRule="auto"/>
              <w:jc w:val="center"/>
              <w:rPr>
                <w:rFonts w:ascii="Arial" w:eastAsia="Times New Roman" w:hAnsi="Arial" w:cs="Arial"/>
                <w:bCs/>
                <w:sz w:val="16"/>
                <w:szCs w:val="16"/>
                <w:lang w:eastAsia="es-CO"/>
              </w:rPr>
            </w:pPr>
            <w:r w:rsidRPr="000E7189">
              <w:rPr>
                <w:rFonts w:ascii="Arial" w:eastAsia="Times New Roman" w:hAnsi="Arial" w:cs="Arial"/>
                <w:bCs/>
                <w:sz w:val="16"/>
                <w:szCs w:val="16"/>
                <w:lang w:eastAsia="es-CO"/>
              </w:rPr>
              <w:t>PORCENTAJE</w:t>
            </w:r>
          </w:p>
        </w:tc>
      </w:tr>
      <w:tr w:rsidR="003E645F" w:rsidRPr="000E7189" w14:paraId="68F92FA2" w14:textId="77777777" w:rsidTr="001E70C9">
        <w:trPr>
          <w:trHeight w:val="215"/>
          <w:jc w:val="center"/>
        </w:trPr>
        <w:tc>
          <w:tcPr>
            <w:tcW w:w="861" w:type="pct"/>
            <w:vMerge w:val="restart"/>
            <w:vAlign w:val="center"/>
          </w:tcPr>
          <w:p w14:paraId="33B94A83" w14:textId="7AB4A199" w:rsidR="003E645F" w:rsidRPr="000E7189" w:rsidRDefault="003E645F" w:rsidP="00551E4F">
            <w:pPr>
              <w:widowControl w:val="0"/>
              <w:spacing w:line="259" w:lineRule="auto"/>
              <w:jc w:val="center"/>
              <w:rPr>
                <w:rFonts w:ascii="Arial" w:hAnsi="Arial" w:cs="Arial"/>
                <w:b w:val="0"/>
                <w:color w:val="000000"/>
                <w:sz w:val="16"/>
                <w:szCs w:val="16"/>
                <w:shd w:val="clear" w:color="auto" w:fill="FFFFFF"/>
              </w:rPr>
            </w:pPr>
            <w:r w:rsidRPr="000E7189">
              <w:rPr>
                <w:rFonts w:ascii="Arial" w:hAnsi="Arial" w:cs="Arial"/>
                <w:b w:val="0"/>
                <w:color w:val="000000"/>
                <w:sz w:val="16"/>
                <w:szCs w:val="16"/>
                <w:shd w:val="clear" w:color="auto" w:fill="FFFFFF"/>
              </w:rPr>
              <w:t>0</w:t>
            </w:r>
            <w:r>
              <w:rPr>
                <w:rFonts w:ascii="Arial" w:hAnsi="Arial" w:cs="Arial"/>
                <w:b w:val="0"/>
                <w:color w:val="000000"/>
                <w:sz w:val="16"/>
                <w:szCs w:val="16"/>
                <w:shd w:val="clear" w:color="auto" w:fill="FFFFFF"/>
              </w:rPr>
              <w:t>1</w:t>
            </w:r>
            <w:r w:rsidRPr="000E7189">
              <w:rPr>
                <w:rFonts w:ascii="Arial" w:hAnsi="Arial" w:cs="Arial"/>
                <w:b w:val="0"/>
                <w:color w:val="000000"/>
                <w:sz w:val="16"/>
                <w:szCs w:val="16"/>
                <w:shd w:val="clear" w:color="auto" w:fill="FFFFFF"/>
              </w:rPr>
              <w:t>-0</w:t>
            </w:r>
            <w:r>
              <w:rPr>
                <w:rFonts w:ascii="Arial" w:hAnsi="Arial" w:cs="Arial"/>
                <w:b w:val="0"/>
                <w:color w:val="000000"/>
                <w:sz w:val="16"/>
                <w:szCs w:val="16"/>
                <w:shd w:val="clear" w:color="auto" w:fill="FFFFFF"/>
              </w:rPr>
              <w:t>9</w:t>
            </w:r>
            <w:r w:rsidRPr="000E7189">
              <w:rPr>
                <w:rFonts w:ascii="Arial" w:hAnsi="Arial" w:cs="Arial"/>
                <w:b w:val="0"/>
                <w:color w:val="000000"/>
                <w:sz w:val="16"/>
                <w:szCs w:val="16"/>
                <w:shd w:val="clear" w:color="auto" w:fill="FFFFFF"/>
              </w:rPr>
              <w:t>-00</w:t>
            </w:r>
            <w:r>
              <w:rPr>
                <w:rFonts w:ascii="Arial" w:hAnsi="Arial" w:cs="Arial"/>
                <w:b w:val="0"/>
                <w:color w:val="000000"/>
                <w:sz w:val="16"/>
                <w:szCs w:val="16"/>
                <w:shd w:val="clear" w:color="auto" w:fill="FFFFFF"/>
              </w:rPr>
              <w:t>12</w:t>
            </w:r>
            <w:r w:rsidRPr="000E7189">
              <w:rPr>
                <w:rFonts w:ascii="Arial" w:hAnsi="Arial" w:cs="Arial"/>
                <w:b w:val="0"/>
                <w:color w:val="000000"/>
                <w:sz w:val="16"/>
                <w:szCs w:val="16"/>
                <w:shd w:val="clear" w:color="auto" w:fill="FFFFFF"/>
              </w:rPr>
              <w:t>-0</w:t>
            </w:r>
            <w:r>
              <w:rPr>
                <w:rFonts w:ascii="Arial" w:hAnsi="Arial" w:cs="Arial"/>
                <w:b w:val="0"/>
                <w:color w:val="000000"/>
                <w:sz w:val="16"/>
                <w:szCs w:val="16"/>
                <w:shd w:val="clear" w:color="auto" w:fill="FFFFFF"/>
              </w:rPr>
              <w:t>059</w:t>
            </w:r>
            <w:r w:rsidRPr="000E7189">
              <w:rPr>
                <w:rFonts w:ascii="Arial" w:hAnsi="Arial" w:cs="Arial"/>
                <w:b w:val="0"/>
                <w:color w:val="000000"/>
                <w:sz w:val="16"/>
                <w:szCs w:val="16"/>
                <w:shd w:val="clear" w:color="auto" w:fill="FFFFFF"/>
              </w:rPr>
              <w:t>-00</w:t>
            </w:r>
            <w:r>
              <w:rPr>
                <w:rFonts w:ascii="Arial" w:hAnsi="Arial" w:cs="Arial"/>
                <w:b w:val="0"/>
                <w:color w:val="000000"/>
                <w:sz w:val="16"/>
                <w:szCs w:val="16"/>
                <w:shd w:val="clear" w:color="auto" w:fill="FFFFFF"/>
              </w:rPr>
              <w:t>0</w:t>
            </w:r>
          </w:p>
        </w:tc>
        <w:tc>
          <w:tcPr>
            <w:tcW w:w="388" w:type="pct"/>
            <w:vMerge w:val="restart"/>
            <w:vAlign w:val="center"/>
          </w:tcPr>
          <w:p w14:paraId="666C4227" w14:textId="77777777" w:rsidR="003E645F" w:rsidRPr="00982266" w:rsidRDefault="003E645F" w:rsidP="00551E4F">
            <w:pPr>
              <w:widowControl w:val="0"/>
              <w:spacing w:line="259" w:lineRule="auto"/>
              <w:jc w:val="center"/>
              <w:rPr>
                <w:rFonts w:ascii="Arial" w:eastAsia="Times New Roman" w:hAnsi="Arial" w:cs="Arial"/>
                <w:b w:val="0"/>
                <w:sz w:val="16"/>
                <w:szCs w:val="16"/>
                <w:lang w:eastAsia="es-CO"/>
              </w:rPr>
            </w:pPr>
            <w:r w:rsidRPr="00982266">
              <w:rPr>
                <w:rFonts w:ascii="Arial" w:eastAsia="Times New Roman" w:hAnsi="Arial" w:cs="Arial"/>
                <w:b w:val="0"/>
                <w:sz w:val="16"/>
                <w:szCs w:val="16"/>
                <w:lang w:eastAsia="es-CO"/>
              </w:rPr>
              <w:t xml:space="preserve">POMCA </w:t>
            </w:r>
            <w:r>
              <w:rPr>
                <w:rFonts w:ascii="Arial" w:eastAsia="Times New Roman" w:hAnsi="Arial" w:cs="Arial"/>
                <w:b w:val="0"/>
                <w:sz w:val="16"/>
                <w:szCs w:val="16"/>
                <w:lang w:eastAsia="es-CO"/>
              </w:rPr>
              <w:t>Alto Lebrija</w:t>
            </w:r>
          </w:p>
        </w:tc>
        <w:tc>
          <w:tcPr>
            <w:tcW w:w="588" w:type="pct"/>
            <w:vAlign w:val="center"/>
          </w:tcPr>
          <w:p w14:paraId="6232C5B5" w14:textId="77777777" w:rsidR="003E645F" w:rsidRPr="00982266" w:rsidRDefault="003E645F" w:rsidP="00551E4F">
            <w:pPr>
              <w:widowControl w:val="0"/>
              <w:spacing w:line="259" w:lineRule="auto"/>
              <w:jc w:val="center"/>
              <w:rPr>
                <w:rFonts w:ascii="Arial" w:eastAsia="Times New Roman" w:hAnsi="Arial" w:cs="Arial"/>
                <w:b w:val="0"/>
                <w:color w:val="000000"/>
                <w:sz w:val="16"/>
                <w:szCs w:val="16"/>
                <w:lang w:eastAsia="es-CO"/>
              </w:rPr>
            </w:pPr>
            <w:r w:rsidRPr="00982266">
              <w:rPr>
                <w:rFonts w:ascii="Arial" w:eastAsia="Times New Roman" w:hAnsi="Arial" w:cs="Arial"/>
                <w:b w:val="0"/>
                <w:color w:val="000000"/>
                <w:sz w:val="16"/>
                <w:szCs w:val="16"/>
                <w:lang w:eastAsia="es-CO"/>
              </w:rPr>
              <w:t>Conservación y Protección Ambiental</w:t>
            </w:r>
          </w:p>
        </w:tc>
        <w:tc>
          <w:tcPr>
            <w:tcW w:w="396" w:type="pct"/>
            <w:shd w:val="clear" w:color="000000" w:fill="00E6A9"/>
            <w:vAlign w:val="center"/>
          </w:tcPr>
          <w:p w14:paraId="50D78E0A" w14:textId="5B325593" w:rsidR="003E645F" w:rsidRPr="006444AB" w:rsidRDefault="003E645F" w:rsidP="00551E4F">
            <w:pPr>
              <w:widowControl w:val="0"/>
              <w:spacing w:line="259" w:lineRule="auto"/>
              <w:jc w:val="center"/>
              <w:rPr>
                <w:rFonts w:ascii="Arial" w:hAnsi="Arial" w:cs="Arial"/>
                <w:bCs/>
                <w:sz w:val="16"/>
                <w:szCs w:val="16"/>
                <w:lang w:val="es-ES"/>
              </w:rPr>
            </w:pPr>
            <w:r w:rsidRPr="006444AB">
              <w:rPr>
                <w:rFonts w:ascii="Arial" w:eastAsia="Times New Roman" w:hAnsi="Arial" w:cs="Arial"/>
                <w:bCs/>
                <w:sz w:val="16"/>
                <w:szCs w:val="16"/>
                <w:lang w:eastAsia="es-CO"/>
              </w:rPr>
              <w:t>C-18</w:t>
            </w:r>
          </w:p>
        </w:tc>
        <w:tc>
          <w:tcPr>
            <w:tcW w:w="1763" w:type="pct"/>
            <w:shd w:val="clear" w:color="000000" w:fill="FFFFFF"/>
            <w:vAlign w:val="center"/>
          </w:tcPr>
          <w:p w14:paraId="7870F4F0" w14:textId="0098488B" w:rsidR="003E645F" w:rsidRPr="003E645F" w:rsidRDefault="003E645F" w:rsidP="00551E4F">
            <w:pPr>
              <w:widowControl w:val="0"/>
              <w:spacing w:line="259" w:lineRule="auto"/>
              <w:jc w:val="center"/>
              <w:rPr>
                <w:rFonts w:ascii="Arial" w:hAnsi="Arial" w:cs="Arial"/>
                <w:b w:val="0"/>
                <w:bCs/>
                <w:sz w:val="16"/>
                <w:szCs w:val="16"/>
                <w:shd w:val="clear" w:color="auto" w:fill="FFFFFF"/>
              </w:rPr>
            </w:pPr>
            <w:r w:rsidRPr="003E645F">
              <w:rPr>
                <w:rFonts w:ascii="Arial" w:eastAsia="Times New Roman" w:hAnsi="Arial" w:cs="Arial"/>
                <w:b w:val="0"/>
                <w:bCs/>
                <w:color w:val="000000"/>
                <w:sz w:val="16"/>
                <w:szCs w:val="16"/>
                <w:lang w:eastAsia="es-CO"/>
              </w:rPr>
              <w:t>Suelos de Protección Municipio de Bucaramanga</w:t>
            </w:r>
          </w:p>
        </w:tc>
        <w:tc>
          <w:tcPr>
            <w:tcW w:w="378" w:type="pct"/>
            <w:vAlign w:val="center"/>
          </w:tcPr>
          <w:p w14:paraId="20719D31" w14:textId="628CE1B1" w:rsidR="003E645F" w:rsidRDefault="003E645F" w:rsidP="00551E4F">
            <w:pPr>
              <w:widowControl w:val="0"/>
              <w:spacing w:line="259" w:lineRule="auto"/>
              <w:jc w:val="center"/>
              <w:rPr>
                <w:rFonts w:ascii="Arial" w:hAnsi="Arial" w:cs="Arial"/>
                <w:b w:val="0"/>
                <w:color w:val="000000"/>
                <w:sz w:val="16"/>
                <w:szCs w:val="16"/>
                <w:shd w:val="clear" w:color="auto" w:fill="FFFFFF"/>
              </w:rPr>
            </w:pPr>
            <w:r>
              <w:rPr>
                <w:rFonts w:ascii="Arial" w:hAnsi="Arial" w:cs="Arial"/>
                <w:b w:val="0"/>
                <w:color w:val="000000"/>
                <w:sz w:val="16"/>
                <w:szCs w:val="16"/>
                <w:shd w:val="clear" w:color="auto" w:fill="FFFFFF"/>
              </w:rPr>
              <w:t>1</w:t>
            </w:r>
            <w:r w:rsidR="00387B74">
              <w:rPr>
                <w:rFonts w:ascii="Arial" w:hAnsi="Arial" w:cs="Arial"/>
                <w:b w:val="0"/>
                <w:color w:val="000000"/>
                <w:sz w:val="16"/>
                <w:szCs w:val="16"/>
                <w:shd w:val="clear" w:color="auto" w:fill="FFFFFF"/>
              </w:rPr>
              <w:t>,62</w:t>
            </w:r>
          </w:p>
        </w:tc>
        <w:tc>
          <w:tcPr>
            <w:tcW w:w="626" w:type="pct"/>
            <w:vAlign w:val="center"/>
          </w:tcPr>
          <w:p w14:paraId="41A819F9" w14:textId="18701C4F" w:rsidR="003E645F" w:rsidRDefault="00387B74" w:rsidP="00551E4F">
            <w:pPr>
              <w:widowControl w:val="0"/>
              <w:spacing w:line="259" w:lineRule="auto"/>
              <w:jc w:val="center"/>
              <w:rPr>
                <w:rFonts w:ascii="Arial" w:eastAsia="Times New Roman" w:hAnsi="Arial" w:cs="Arial"/>
                <w:b w:val="0"/>
                <w:color w:val="000000"/>
                <w:sz w:val="16"/>
                <w:szCs w:val="16"/>
                <w:lang w:eastAsia="es-CO"/>
              </w:rPr>
            </w:pPr>
            <w:r>
              <w:rPr>
                <w:rFonts w:ascii="Arial" w:eastAsia="Times New Roman" w:hAnsi="Arial" w:cs="Arial"/>
                <w:b w:val="0"/>
                <w:color w:val="000000"/>
                <w:sz w:val="16"/>
                <w:szCs w:val="16"/>
                <w:lang w:eastAsia="es-CO"/>
              </w:rPr>
              <w:t>85,</w:t>
            </w:r>
            <w:r w:rsidR="00AC6186">
              <w:rPr>
                <w:rFonts w:ascii="Arial" w:eastAsia="Times New Roman" w:hAnsi="Arial" w:cs="Arial"/>
                <w:b w:val="0"/>
                <w:color w:val="000000"/>
                <w:sz w:val="16"/>
                <w:szCs w:val="16"/>
                <w:lang w:eastAsia="es-CO"/>
              </w:rPr>
              <w:t>84</w:t>
            </w:r>
          </w:p>
        </w:tc>
      </w:tr>
      <w:tr w:rsidR="003E645F" w:rsidRPr="000E7189" w14:paraId="1868EED9" w14:textId="77777777" w:rsidTr="004231BB">
        <w:trPr>
          <w:trHeight w:val="113"/>
          <w:jc w:val="center"/>
        </w:trPr>
        <w:tc>
          <w:tcPr>
            <w:tcW w:w="861" w:type="pct"/>
            <w:vMerge/>
            <w:vAlign w:val="center"/>
          </w:tcPr>
          <w:p w14:paraId="3AA55350" w14:textId="77777777" w:rsidR="003E645F" w:rsidRPr="00982266" w:rsidRDefault="003E645F" w:rsidP="00615E01">
            <w:pPr>
              <w:widowControl w:val="0"/>
              <w:spacing w:line="259" w:lineRule="auto"/>
              <w:jc w:val="center"/>
              <w:rPr>
                <w:rFonts w:ascii="Arial" w:hAnsi="Arial" w:cs="Arial"/>
                <w:b w:val="0"/>
                <w:color w:val="000000"/>
                <w:sz w:val="16"/>
                <w:szCs w:val="16"/>
                <w:shd w:val="clear" w:color="auto" w:fill="FFFFFF"/>
              </w:rPr>
            </w:pPr>
          </w:p>
        </w:tc>
        <w:tc>
          <w:tcPr>
            <w:tcW w:w="388" w:type="pct"/>
            <w:vMerge/>
            <w:vAlign w:val="center"/>
          </w:tcPr>
          <w:p w14:paraId="7379E865" w14:textId="77777777" w:rsidR="003E645F" w:rsidRPr="00982266" w:rsidRDefault="003E645F" w:rsidP="00615E01">
            <w:pPr>
              <w:widowControl w:val="0"/>
              <w:spacing w:line="259" w:lineRule="auto"/>
              <w:jc w:val="center"/>
              <w:rPr>
                <w:rFonts w:ascii="Arial" w:hAnsi="Arial" w:cs="Arial"/>
                <w:b w:val="0"/>
                <w:color w:val="000000"/>
                <w:sz w:val="16"/>
                <w:szCs w:val="16"/>
                <w:shd w:val="clear" w:color="auto" w:fill="FFFFFF"/>
              </w:rPr>
            </w:pPr>
          </w:p>
        </w:tc>
        <w:tc>
          <w:tcPr>
            <w:tcW w:w="588" w:type="pct"/>
            <w:vAlign w:val="center"/>
          </w:tcPr>
          <w:p w14:paraId="26D55DB5" w14:textId="6F5929B5" w:rsidR="003E645F" w:rsidRPr="00982266" w:rsidRDefault="003E645F" w:rsidP="00615E01">
            <w:pPr>
              <w:widowControl w:val="0"/>
              <w:spacing w:line="259" w:lineRule="auto"/>
              <w:jc w:val="center"/>
              <w:rPr>
                <w:rFonts w:ascii="Arial" w:hAnsi="Arial" w:cs="Arial"/>
                <w:b w:val="0"/>
                <w:color w:val="000000"/>
                <w:sz w:val="16"/>
                <w:szCs w:val="16"/>
                <w:shd w:val="clear" w:color="auto" w:fill="FFFFFF"/>
              </w:rPr>
            </w:pPr>
            <w:r w:rsidRPr="007E7427">
              <w:rPr>
                <w:rFonts w:ascii="Arial" w:hAnsi="Arial" w:cs="Arial"/>
                <w:b w:val="0"/>
                <w:color w:val="000000"/>
                <w:sz w:val="16"/>
                <w:szCs w:val="16"/>
                <w:shd w:val="clear" w:color="auto" w:fill="FFFFFF"/>
              </w:rPr>
              <w:t>Uso Múltiple</w:t>
            </w:r>
          </w:p>
        </w:tc>
        <w:tc>
          <w:tcPr>
            <w:tcW w:w="396" w:type="pct"/>
            <w:shd w:val="clear" w:color="000000" w:fill="686868"/>
            <w:vAlign w:val="center"/>
          </w:tcPr>
          <w:p w14:paraId="6278BBB3" w14:textId="49E72971" w:rsidR="003E645F" w:rsidRPr="006B1713" w:rsidRDefault="003E645F" w:rsidP="00615E01">
            <w:pPr>
              <w:widowControl w:val="0"/>
              <w:spacing w:line="259" w:lineRule="auto"/>
              <w:jc w:val="center"/>
              <w:rPr>
                <w:rFonts w:ascii="Arial" w:hAnsi="Arial" w:cs="Arial"/>
                <w:b w:val="0"/>
                <w:sz w:val="16"/>
                <w:szCs w:val="16"/>
                <w:shd w:val="clear" w:color="auto" w:fill="FFFFFF"/>
              </w:rPr>
            </w:pPr>
            <w:r w:rsidRPr="006B1713">
              <w:rPr>
                <w:rFonts w:ascii="Arial" w:eastAsia="Times New Roman" w:hAnsi="Arial" w:cs="Arial"/>
                <w:bCs/>
                <w:sz w:val="16"/>
                <w:szCs w:val="16"/>
                <w:lang w:eastAsia="es-CO"/>
              </w:rPr>
              <w:t>M-08</w:t>
            </w:r>
          </w:p>
        </w:tc>
        <w:tc>
          <w:tcPr>
            <w:tcW w:w="1763" w:type="pct"/>
            <w:shd w:val="clear" w:color="000000" w:fill="FFFFFF"/>
            <w:vAlign w:val="center"/>
          </w:tcPr>
          <w:p w14:paraId="4CC59ECA" w14:textId="035B3EE5" w:rsidR="003E645F" w:rsidRPr="003E645F" w:rsidRDefault="003E645F" w:rsidP="00615E01">
            <w:pPr>
              <w:widowControl w:val="0"/>
              <w:spacing w:line="259" w:lineRule="auto"/>
              <w:jc w:val="center"/>
              <w:rPr>
                <w:rFonts w:ascii="Arial" w:hAnsi="Arial" w:cs="Arial"/>
                <w:b w:val="0"/>
                <w:bCs/>
                <w:color w:val="000000"/>
                <w:sz w:val="16"/>
                <w:szCs w:val="16"/>
                <w:shd w:val="clear" w:color="auto" w:fill="FFFFFF"/>
              </w:rPr>
            </w:pPr>
            <w:r w:rsidRPr="003E645F">
              <w:rPr>
                <w:rFonts w:ascii="Arial" w:eastAsia="Times New Roman" w:hAnsi="Arial" w:cs="Arial"/>
                <w:b w:val="0"/>
                <w:bCs/>
                <w:color w:val="000000"/>
                <w:sz w:val="16"/>
                <w:szCs w:val="16"/>
                <w:lang w:eastAsia="es-CO"/>
              </w:rPr>
              <w:t>Áreas urbanas, municipales y distritales</w:t>
            </w:r>
          </w:p>
        </w:tc>
        <w:tc>
          <w:tcPr>
            <w:tcW w:w="378" w:type="pct"/>
            <w:vAlign w:val="center"/>
          </w:tcPr>
          <w:p w14:paraId="54698047" w14:textId="0DB5810E" w:rsidR="003E645F" w:rsidRPr="00982266" w:rsidRDefault="00387B74" w:rsidP="00615E01">
            <w:pPr>
              <w:widowControl w:val="0"/>
              <w:spacing w:line="259" w:lineRule="auto"/>
              <w:jc w:val="center"/>
              <w:rPr>
                <w:rFonts w:ascii="Arial" w:hAnsi="Arial" w:cs="Arial"/>
                <w:b w:val="0"/>
                <w:color w:val="000000"/>
                <w:sz w:val="16"/>
                <w:szCs w:val="16"/>
                <w:shd w:val="clear" w:color="auto" w:fill="FFFFFF"/>
              </w:rPr>
            </w:pPr>
            <w:r>
              <w:rPr>
                <w:rFonts w:ascii="Arial" w:hAnsi="Arial" w:cs="Arial"/>
                <w:b w:val="0"/>
                <w:color w:val="000000"/>
                <w:sz w:val="16"/>
                <w:szCs w:val="16"/>
                <w:shd w:val="clear" w:color="auto" w:fill="FFFFFF"/>
              </w:rPr>
              <w:t>0,27</w:t>
            </w:r>
          </w:p>
        </w:tc>
        <w:tc>
          <w:tcPr>
            <w:tcW w:w="626" w:type="pct"/>
            <w:vAlign w:val="center"/>
          </w:tcPr>
          <w:p w14:paraId="6E6AF5E9" w14:textId="08667CD3" w:rsidR="003E645F" w:rsidRPr="000E7189" w:rsidRDefault="00AC6186" w:rsidP="00615E01">
            <w:pPr>
              <w:widowControl w:val="0"/>
              <w:spacing w:line="259" w:lineRule="auto"/>
              <w:jc w:val="center"/>
              <w:rPr>
                <w:rFonts w:ascii="Arial" w:eastAsia="Times New Roman" w:hAnsi="Arial" w:cs="Arial"/>
                <w:b w:val="0"/>
                <w:color w:val="000000"/>
                <w:sz w:val="16"/>
                <w:szCs w:val="16"/>
                <w:lang w:eastAsia="es-CO"/>
              </w:rPr>
            </w:pPr>
            <w:r>
              <w:rPr>
                <w:rFonts w:ascii="Arial" w:eastAsia="Times New Roman" w:hAnsi="Arial" w:cs="Arial"/>
                <w:b w:val="0"/>
                <w:color w:val="000000"/>
                <w:sz w:val="16"/>
                <w:szCs w:val="16"/>
                <w:lang w:eastAsia="es-CO"/>
              </w:rPr>
              <w:t>14,16</w:t>
            </w:r>
          </w:p>
        </w:tc>
      </w:tr>
      <w:tr w:rsidR="00615E01" w:rsidRPr="000E7189" w14:paraId="10EF20D3" w14:textId="77777777" w:rsidTr="004B6DBB">
        <w:trPr>
          <w:trHeight w:val="113"/>
          <w:jc w:val="center"/>
        </w:trPr>
        <w:tc>
          <w:tcPr>
            <w:tcW w:w="3996" w:type="pct"/>
            <w:gridSpan w:val="5"/>
            <w:vAlign w:val="center"/>
          </w:tcPr>
          <w:p w14:paraId="0C9FB069" w14:textId="77777777" w:rsidR="00615E01" w:rsidRPr="003B6A4E" w:rsidRDefault="00615E01" w:rsidP="00615E01">
            <w:pPr>
              <w:widowControl w:val="0"/>
              <w:spacing w:line="259" w:lineRule="auto"/>
              <w:jc w:val="center"/>
              <w:rPr>
                <w:rFonts w:ascii="Arial" w:eastAsia="Times New Roman" w:hAnsi="Arial" w:cs="Arial"/>
                <w:bCs/>
                <w:color w:val="000000"/>
                <w:sz w:val="16"/>
                <w:szCs w:val="16"/>
                <w:lang w:eastAsia="es-CO"/>
              </w:rPr>
            </w:pPr>
            <w:r w:rsidRPr="003B6A4E">
              <w:rPr>
                <w:rFonts w:ascii="Arial" w:eastAsia="Times New Roman" w:hAnsi="Arial" w:cs="Arial"/>
                <w:bCs/>
                <w:color w:val="000000"/>
                <w:sz w:val="16"/>
                <w:szCs w:val="16"/>
                <w:lang w:eastAsia="es-CO"/>
              </w:rPr>
              <w:t>TOTAL</w:t>
            </w:r>
          </w:p>
        </w:tc>
        <w:tc>
          <w:tcPr>
            <w:tcW w:w="378" w:type="pct"/>
            <w:vAlign w:val="center"/>
          </w:tcPr>
          <w:p w14:paraId="653F5ABF" w14:textId="5BED4DBC" w:rsidR="00615E01" w:rsidRPr="003B6A4E" w:rsidRDefault="00AC6186" w:rsidP="00615E01">
            <w:pPr>
              <w:widowControl w:val="0"/>
              <w:spacing w:line="259" w:lineRule="auto"/>
              <w:jc w:val="center"/>
              <w:rPr>
                <w:rFonts w:ascii="Arial" w:eastAsia="Times New Roman" w:hAnsi="Arial" w:cs="Arial"/>
                <w:bCs/>
                <w:color w:val="000000"/>
                <w:sz w:val="16"/>
                <w:szCs w:val="16"/>
                <w:lang w:eastAsia="es-CO"/>
              </w:rPr>
            </w:pPr>
            <w:r>
              <w:rPr>
                <w:rFonts w:ascii="Arial" w:eastAsia="Times New Roman" w:hAnsi="Arial" w:cs="Arial"/>
                <w:bCs/>
                <w:color w:val="000000"/>
                <w:sz w:val="16"/>
                <w:szCs w:val="16"/>
                <w:lang w:eastAsia="es-CO"/>
              </w:rPr>
              <w:t>1,86</w:t>
            </w:r>
          </w:p>
        </w:tc>
        <w:tc>
          <w:tcPr>
            <w:tcW w:w="626" w:type="pct"/>
            <w:vAlign w:val="center"/>
          </w:tcPr>
          <w:p w14:paraId="4A8950D7" w14:textId="77777777" w:rsidR="00615E01" w:rsidRPr="000E7189" w:rsidRDefault="00615E01" w:rsidP="00615E01">
            <w:pPr>
              <w:widowControl w:val="0"/>
              <w:spacing w:line="259" w:lineRule="auto"/>
              <w:jc w:val="center"/>
              <w:rPr>
                <w:rFonts w:ascii="Arial" w:eastAsia="Times New Roman" w:hAnsi="Arial" w:cs="Arial"/>
                <w:b w:val="0"/>
                <w:color w:val="000000"/>
                <w:sz w:val="16"/>
                <w:szCs w:val="16"/>
                <w:lang w:eastAsia="es-CO"/>
              </w:rPr>
            </w:pPr>
            <w:r>
              <w:rPr>
                <w:rFonts w:ascii="Arial" w:eastAsia="Times New Roman" w:hAnsi="Arial" w:cs="Arial"/>
                <w:b w:val="0"/>
                <w:color w:val="000000"/>
                <w:sz w:val="16"/>
                <w:szCs w:val="16"/>
                <w:lang w:eastAsia="es-CO"/>
              </w:rPr>
              <w:t>100,00</w:t>
            </w:r>
          </w:p>
        </w:tc>
      </w:tr>
    </w:tbl>
    <w:p w14:paraId="0A94265B" w14:textId="04DD2FF5" w:rsidR="00654C50" w:rsidRPr="00654C50" w:rsidRDefault="00654C50" w:rsidP="00654C50">
      <w:pPr>
        <w:jc w:val="both"/>
        <w:rPr>
          <w:rFonts w:ascii="Arial" w:hAnsi="Arial" w:cs="Arial"/>
          <w:bCs/>
          <w:sz w:val="16"/>
          <w:szCs w:val="16"/>
          <w:lang w:val="es-ES"/>
        </w:rPr>
      </w:pPr>
      <w:r w:rsidRPr="00654C50">
        <w:rPr>
          <w:rFonts w:ascii="Arial" w:hAnsi="Arial" w:cs="Arial"/>
          <w:bCs/>
          <w:sz w:val="16"/>
          <w:szCs w:val="16"/>
          <w:lang w:val="es-ES"/>
        </w:rPr>
        <w:t xml:space="preserve">Fuente: </w:t>
      </w:r>
      <w:r w:rsidRPr="00654C50">
        <w:rPr>
          <w:rFonts w:ascii="Arial" w:hAnsi="Arial" w:cs="Arial"/>
          <w:b w:val="0"/>
          <w:sz w:val="16"/>
          <w:szCs w:val="16"/>
          <w:lang w:val="es-ES"/>
        </w:rPr>
        <w:t>POMCA Alto Lebrija, consultoría para el ajuste (actualización) del plan de ordenación y manejo de la cuenca hidrográfica Alto Lebrija (código 2319-01), adoptado mediante Resolución CDMB N° 0392 de julio 17 de 2020.</w:t>
      </w:r>
    </w:p>
    <w:p w14:paraId="423AF9D0" w14:textId="77777777" w:rsidR="00654C50" w:rsidRDefault="00654C50" w:rsidP="003926A6">
      <w:pPr>
        <w:jc w:val="both"/>
        <w:rPr>
          <w:rFonts w:ascii="Arial" w:eastAsiaTheme="minorHAnsi" w:hAnsi="Arial" w:cs="Arial"/>
          <w:b w:val="0"/>
          <w:sz w:val="16"/>
          <w:szCs w:val="16"/>
          <w:lang w:val="es-ES"/>
        </w:rPr>
      </w:pPr>
    </w:p>
    <w:p w14:paraId="056ABE95" w14:textId="77777777" w:rsidR="00654C50" w:rsidRDefault="00654C50" w:rsidP="003926A6">
      <w:pPr>
        <w:jc w:val="both"/>
        <w:rPr>
          <w:rFonts w:ascii="Arial" w:eastAsiaTheme="minorHAnsi" w:hAnsi="Arial" w:cs="Arial"/>
          <w:b w:val="0"/>
          <w:sz w:val="16"/>
          <w:szCs w:val="16"/>
          <w:lang w:val="es-ES"/>
        </w:rPr>
      </w:pPr>
    </w:p>
    <w:p w14:paraId="46546F87" w14:textId="77777777" w:rsidR="00014882" w:rsidRPr="00014882" w:rsidRDefault="00014882" w:rsidP="00014882">
      <w:pPr>
        <w:jc w:val="both"/>
        <w:rPr>
          <w:rFonts w:ascii="Arial" w:eastAsiaTheme="minorHAnsi" w:hAnsi="Arial" w:cs="Arial"/>
          <w:bCs/>
          <w:sz w:val="20"/>
          <w:szCs w:val="20"/>
          <w:lang w:val="es-ES"/>
        </w:rPr>
      </w:pPr>
      <w:r w:rsidRPr="00014882">
        <w:rPr>
          <w:rFonts w:ascii="Arial" w:eastAsiaTheme="minorHAnsi" w:hAnsi="Arial" w:cs="Arial"/>
          <w:bCs/>
          <w:sz w:val="20"/>
          <w:szCs w:val="20"/>
          <w:lang w:val="es-ES"/>
        </w:rPr>
        <w:t>CATEGORIAS ZONIFICACIÓN AMBIENTAL PLAN DE ORDENAMIENTO Y MANEJO DE LA CUENCA ALTO LEBRIJA, CONSULTORÍA PARA EL AJUSTE (ACTUALIZACIÓN) DEL PLAN DE ORDENACIÓN Y MANEJO DE LA CUENCA HIDROGRÁFICA ALTO LEBRIJA (CÓDIGO 2319-01).</w:t>
      </w:r>
    </w:p>
    <w:p w14:paraId="30475A06" w14:textId="77777777" w:rsidR="00014882" w:rsidRPr="00014882" w:rsidRDefault="00014882" w:rsidP="00014882">
      <w:pPr>
        <w:jc w:val="both"/>
        <w:rPr>
          <w:rFonts w:ascii="Arial" w:eastAsiaTheme="minorHAnsi" w:hAnsi="Arial" w:cs="Arial"/>
          <w:b w:val="0"/>
          <w:sz w:val="20"/>
          <w:szCs w:val="20"/>
          <w:lang w:val="es-ES"/>
        </w:rPr>
      </w:pPr>
    </w:p>
    <w:p w14:paraId="3C5552B3" w14:textId="77777777" w:rsidR="00014882" w:rsidRPr="00014882" w:rsidRDefault="00014882" w:rsidP="00014882">
      <w:pPr>
        <w:jc w:val="both"/>
        <w:rPr>
          <w:rFonts w:ascii="Arial" w:eastAsiaTheme="minorHAnsi" w:hAnsi="Arial" w:cs="Arial"/>
          <w:b w:val="0"/>
          <w:sz w:val="20"/>
          <w:szCs w:val="20"/>
          <w:lang w:val="es-ES"/>
        </w:rPr>
      </w:pPr>
      <w:r w:rsidRPr="00014882">
        <w:rPr>
          <w:rFonts w:ascii="Arial" w:eastAsiaTheme="minorHAnsi" w:hAnsi="Arial" w:cs="Arial"/>
          <w:b w:val="0"/>
          <w:sz w:val="20"/>
          <w:szCs w:val="20"/>
          <w:lang w:val="es-ES"/>
        </w:rPr>
        <w:t>Las categorías de zonificación del POMCA Alto Lebrija se exponen en el ítem 5.3. RESULTADO DE LA ZONIFICACIÓN AMBIENTAL del documento de Prospectiva y Zonificación Ambiental del Plan de Ordenamiento y Manejo de la Cuenca en donde se describen de la siguiente manera:</w:t>
      </w:r>
    </w:p>
    <w:p w14:paraId="10ABDE19" w14:textId="6D20A280" w:rsidR="00AC3C8C" w:rsidRDefault="00AC3C8C" w:rsidP="00BA60DD">
      <w:pPr>
        <w:jc w:val="both"/>
        <w:rPr>
          <w:rFonts w:ascii="Arial" w:eastAsiaTheme="minorHAnsi" w:hAnsi="Arial" w:cs="Arial"/>
          <w:b w:val="0"/>
          <w:sz w:val="20"/>
          <w:szCs w:val="20"/>
          <w:lang w:val="es-ES"/>
        </w:rPr>
      </w:pPr>
    </w:p>
    <w:tbl>
      <w:tblPr>
        <w:tblStyle w:val="Tablaconcuadrcula"/>
        <w:tblW w:w="0" w:type="auto"/>
        <w:jc w:val="center"/>
        <w:tblCellMar>
          <w:top w:w="57" w:type="dxa"/>
          <w:left w:w="57" w:type="dxa"/>
          <w:bottom w:w="57" w:type="dxa"/>
          <w:right w:w="57" w:type="dxa"/>
        </w:tblCellMar>
        <w:tblLook w:val="04A0" w:firstRow="1" w:lastRow="0" w:firstColumn="1" w:lastColumn="0" w:noHBand="0" w:noVBand="1"/>
      </w:tblPr>
      <w:tblGrid>
        <w:gridCol w:w="8828"/>
      </w:tblGrid>
      <w:tr w:rsidR="00AF48E1" w:rsidRPr="00AF48E1" w14:paraId="4E765734" w14:textId="77777777" w:rsidTr="00AF48E1">
        <w:trPr>
          <w:trHeight w:val="284"/>
          <w:jc w:val="center"/>
        </w:trPr>
        <w:tc>
          <w:tcPr>
            <w:tcW w:w="8828" w:type="dxa"/>
            <w:vAlign w:val="center"/>
          </w:tcPr>
          <w:p w14:paraId="4D8A51F1" w14:textId="77777777" w:rsidR="00AF48E1" w:rsidRPr="00AF48E1" w:rsidRDefault="00AF48E1" w:rsidP="00AF48E1">
            <w:pPr>
              <w:rPr>
                <w:rFonts w:ascii="Arial" w:hAnsi="Arial" w:cs="Arial"/>
                <w:bCs/>
                <w:sz w:val="20"/>
                <w:szCs w:val="20"/>
                <w:lang w:val="es-ES"/>
              </w:rPr>
            </w:pPr>
            <w:r w:rsidRPr="00AF48E1">
              <w:rPr>
                <w:rFonts w:ascii="Arial" w:hAnsi="Arial" w:cs="Arial"/>
                <w:bCs/>
                <w:sz w:val="20"/>
                <w:szCs w:val="20"/>
                <w:lang w:val="es-ES"/>
              </w:rPr>
              <w:t>5.3.1. CATEGORÍA DE CONSERVACIÓN Y PROTECCIÓN AMBIENTAL</w:t>
            </w:r>
          </w:p>
        </w:tc>
      </w:tr>
      <w:tr w:rsidR="00AF48E1" w:rsidRPr="00AF48E1" w14:paraId="6E1A4AE5" w14:textId="77777777" w:rsidTr="00AF48E1">
        <w:trPr>
          <w:jc w:val="center"/>
        </w:trPr>
        <w:tc>
          <w:tcPr>
            <w:tcW w:w="8828" w:type="dxa"/>
            <w:vAlign w:val="center"/>
          </w:tcPr>
          <w:p w14:paraId="2CFC38C3" w14:textId="77777777" w:rsidR="00AF48E1" w:rsidRPr="00AF48E1" w:rsidRDefault="00AF48E1" w:rsidP="00AF48E1">
            <w:pPr>
              <w:jc w:val="both"/>
              <w:rPr>
                <w:rFonts w:ascii="Arial" w:hAnsi="Arial" w:cs="Arial"/>
                <w:b w:val="0"/>
                <w:sz w:val="20"/>
                <w:szCs w:val="20"/>
                <w:lang w:val="es-ES"/>
              </w:rPr>
            </w:pPr>
            <w:r w:rsidRPr="00AF48E1">
              <w:rPr>
                <w:rFonts w:ascii="Arial" w:hAnsi="Arial" w:cs="Arial"/>
                <w:b w:val="0"/>
                <w:sz w:val="20"/>
                <w:szCs w:val="20"/>
                <w:lang w:val="es-ES"/>
              </w:rPr>
              <w:t xml:space="preserve">La categoría de conservación y protección ambiental incluye áreas que deben ser objeto especial de protección de acuerdo con la legislación vigente y las que hacen parte de la estructura ecológica principal (MADS, 2014). Dentro de esta categoría, se encuentran las zonas de uso y manejo definidas como las áreas protegidas del SINAP, áreas para protección y restauración. </w:t>
            </w:r>
          </w:p>
          <w:p w14:paraId="631A66A2" w14:textId="77777777" w:rsidR="00AF48E1" w:rsidRPr="00AF48E1" w:rsidRDefault="00AF48E1" w:rsidP="00AF48E1">
            <w:pPr>
              <w:jc w:val="both"/>
              <w:rPr>
                <w:rFonts w:ascii="Arial" w:hAnsi="Arial" w:cs="Arial"/>
                <w:b w:val="0"/>
                <w:sz w:val="20"/>
                <w:szCs w:val="20"/>
                <w:lang w:val="es-ES"/>
              </w:rPr>
            </w:pPr>
          </w:p>
          <w:p w14:paraId="06E02DDF" w14:textId="77777777" w:rsidR="00AF48E1" w:rsidRPr="00AF48E1" w:rsidRDefault="00AF48E1" w:rsidP="00AF48E1">
            <w:pPr>
              <w:jc w:val="both"/>
              <w:rPr>
                <w:rFonts w:ascii="Arial" w:hAnsi="Arial" w:cs="Arial"/>
                <w:b w:val="0"/>
                <w:sz w:val="20"/>
                <w:szCs w:val="20"/>
                <w:lang w:val="es-ES"/>
              </w:rPr>
            </w:pPr>
            <w:r w:rsidRPr="00AF48E1">
              <w:rPr>
                <w:rFonts w:ascii="Arial" w:hAnsi="Arial" w:cs="Arial"/>
                <w:b w:val="0"/>
                <w:sz w:val="20"/>
                <w:szCs w:val="20"/>
                <w:lang w:val="es-ES"/>
              </w:rPr>
              <w:t xml:space="preserve">Las áreas protegidas por el SINAP son las identificadas para dar cumplimiento a los objetivos generales de conservación del país. Estos objetivos se refieren a asegurar la continuidad de los procesos ecológicos y evolutivos naturales para mantener la biodiversidad, garantizar la oferta de bienes y servicios ambientales esenciales para el bienestar humano y garantizar la permanencia del medio natural como fundamento para el mantenimiento de la diversidad cultural del país y de la valoración social de la naturaleza (MADS, 2014). Las áreas de protección siguen una estrategia in situ que aporta a la planeación y manejo de los recursos naturales renovables. </w:t>
            </w:r>
          </w:p>
          <w:p w14:paraId="614C6F65" w14:textId="77777777" w:rsidR="00AF48E1" w:rsidRPr="00AF48E1" w:rsidRDefault="00AF48E1" w:rsidP="00AF48E1">
            <w:pPr>
              <w:jc w:val="both"/>
              <w:rPr>
                <w:rFonts w:ascii="Arial" w:hAnsi="Arial" w:cs="Arial"/>
                <w:b w:val="0"/>
                <w:sz w:val="20"/>
                <w:szCs w:val="20"/>
                <w:lang w:val="es-ES"/>
              </w:rPr>
            </w:pPr>
          </w:p>
          <w:p w14:paraId="4C5A560C" w14:textId="77777777" w:rsidR="00AF48E1" w:rsidRPr="00AF48E1" w:rsidRDefault="00AF48E1" w:rsidP="00AF48E1">
            <w:pPr>
              <w:jc w:val="both"/>
              <w:rPr>
                <w:rFonts w:ascii="Arial" w:hAnsi="Arial" w:cs="Arial"/>
                <w:b w:val="0"/>
                <w:sz w:val="20"/>
                <w:szCs w:val="20"/>
                <w:lang w:val="es-ES"/>
              </w:rPr>
            </w:pPr>
            <w:r w:rsidRPr="00AF48E1">
              <w:rPr>
                <w:rFonts w:ascii="Arial" w:hAnsi="Arial" w:cs="Arial"/>
                <w:b w:val="0"/>
                <w:sz w:val="20"/>
                <w:szCs w:val="20"/>
                <w:lang w:val="es-ES"/>
              </w:rPr>
              <w:t xml:space="preserve">Por su parte, la restauración se define como el restablecimiento parcial o total de la composición, estructura y función de la biodiversidad que haya sigo alterada o degradada (MADS, 2014). Las zonas de restauración pueden estar gestionadas como restauración ecológica o como rehabilitación. La restauración ecológica consiste en el restablecimiento de un ecosistema que ha sido dañado, degradado o destruido mediante estudios sobre estructura, composición y funcionamiento del ecosistema degradado y de un ecosistema de referencia que brinde información </w:t>
            </w:r>
            <w:r w:rsidRPr="00AF48E1">
              <w:rPr>
                <w:rFonts w:ascii="Arial" w:hAnsi="Arial" w:cs="Arial"/>
                <w:b w:val="0"/>
                <w:sz w:val="20"/>
                <w:szCs w:val="20"/>
                <w:lang w:val="es-ES"/>
              </w:rPr>
              <w:lastRenderedPageBreak/>
              <w:t>del estado al cual se quiere alcanzar o del estado previo al disturbio. La rehabilitación, en cambio, no implica llegar a un estado original y se enfoca en el restablecimiento de manera parcial de elementos estructurales o funcionales del ecosistema deteriorado así como de la productividad y los servicios que provee el ecosistema. (MADS, 2014).</w:t>
            </w:r>
          </w:p>
          <w:p w14:paraId="40A3FAD4" w14:textId="77777777" w:rsidR="00AF48E1" w:rsidRPr="00AF48E1" w:rsidRDefault="00AF48E1" w:rsidP="00AF48E1">
            <w:pPr>
              <w:jc w:val="both"/>
              <w:rPr>
                <w:rFonts w:ascii="Arial" w:hAnsi="Arial" w:cs="Arial"/>
                <w:b w:val="0"/>
                <w:sz w:val="20"/>
                <w:szCs w:val="20"/>
                <w:lang w:val="es-ES"/>
              </w:rPr>
            </w:pPr>
          </w:p>
          <w:p w14:paraId="6DDA6324" w14:textId="77777777" w:rsidR="00AF48E1" w:rsidRPr="00AF48E1" w:rsidRDefault="00AF48E1" w:rsidP="00AF48E1">
            <w:pPr>
              <w:jc w:val="both"/>
              <w:rPr>
                <w:rFonts w:ascii="Arial" w:hAnsi="Arial" w:cs="Arial"/>
                <w:b w:val="0"/>
                <w:sz w:val="20"/>
                <w:szCs w:val="20"/>
                <w:lang w:val="es-ES"/>
              </w:rPr>
            </w:pPr>
            <w:r w:rsidRPr="00AF48E1">
              <w:rPr>
                <w:rFonts w:ascii="Arial" w:hAnsi="Arial" w:cs="Arial"/>
                <w:b w:val="0"/>
                <w:sz w:val="20"/>
                <w:szCs w:val="20"/>
                <w:lang w:val="es-ES"/>
              </w:rPr>
              <w:t>A continuación, se presenta la categorización realizada en temas de áreas protegidas y ecosistemas estratégicos de acuerdo a la Guía General de POMCAS – Anexo A y se define su presencia o no al interior de la cuenca.</w:t>
            </w:r>
          </w:p>
        </w:tc>
      </w:tr>
      <w:tr w:rsidR="00AF48E1" w:rsidRPr="00AF48E1" w14:paraId="109312B8" w14:textId="77777777" w:rsidTr="00AF48E1">
        <w:trPr>
          <w:trHeight w:val="454"/>
          <w:jc w:val="center"/>
        </w:trPr>
        <w:tc>
          <w:tcPr>
            <w:tcW w:w="8828" w:type="dxa"/>
            <w:vAlign w:val="center"/>
          </w:tcPr>
          <w:p w14:paraId="01B825E9" w14:textId="77777777" w:rsidR="00AF48E1" w:rsidRPr="00AF48E1" w:rsidRDefault="00AF48E1" w:rsidP="00AF48E1">
            <w:pPr>
              <w:jc w:val="both"/>
              <w:rPr>
                <w:rFonts w:ascii="Arial" w:hAnsi="Arial" w:cs="Arial"/>
                <w:bCs/>
                <w:sz w:val="20"/>
                <w:szCs w:val="20"/>
                <w:lang w:val="es-ES"/>
              </w:rPr>
            </w:pPr>
            <w:r w:rsidRPr="00AF48E1">
              <w:rPr>
                <w:rFonts w:ascii="Arial" w:hAnsi="Arial" w:cs="Arial"/>
                <w:bCs/>
                <w:sz w:val="20"/>
                <w:szCs w:val="20"/>
                <w:lang w:val="es-ES"/>
              </w:rPr>
              <w:lastRenderedPageBreak/>
              <w:t>5.3.1.1. Áreas protegidas de orden nacional y regional declaradas, públicas o privadas.</w:t>
            </w:r>
          </w:p>
        </w:tc>
      </w:tr>
      <w:tr w:rsidR="00AF48E1" w:rsidRPr="00AF48E1" w14:paraId="4390E55D" w14:textId="77777777" w:rsidTr="00AF48E1">
        <w:trPr>
          <w:trHeight w:val="284"/>
          <w:jc w:val="center"/>
        </w:trPr>
        <w:tc>
          <w:tcPr>
            <w:tcW w:w="8828" w:type="dxa"/>
            <w:vAlign w:val="center"/>
          </w:tcPr>
          <w:p w14:paraId="34051F5C" w14:textId="77777777" w:rsidR="00AF48E1" w:rsidRPr="00AF48E1" w:rsidRDefault="00AF48E1" w:rsidP="00AF48E1">
            <w:pPr>
              <w:jc w:val="both"/>
              <w:rPr>
                <w:rFonts w:ascii="Arial" w:hAnsi="Arial" w:cs="Arial"/>
                <w:bCs/>
                <w:sz w:val="20"/>
                <w:szCs w:val="20"/>
                <w:lang w:val="es-ES"/>
              </w:rPr>
            </w:pPr>
            <w:r w:rsidRPr="00AF48E1">
              <w:rPr>
                <w:rFonts w:ascii="Arial" w:hAnsi="Arial" w:cs="Arial"/>
                <w:bCs/>
                <w:sz w:val="20"/>
                <w:szCs w:val="20"/>
                <w:lang w:val="es-ES"/>
              </w:rPr>
              <w:t>ÁREAS DE PROTECCIÓN</w:t>
            </w:r>
          </w:p>
        </w:tc>
      </w:tr>
      <w:tr w:rsidR="00AF48E1" w:rsidRPr="00AF48E1" w14:paraId="4C48D7CA" w14:textId="77777777" w:rsidTr="00AF48E1">
        <w:trPr>
          <w:trHeight w:val="284"/>
          <w:jc w:val="center"/>
        </w:trPr>
        <w:tc>
          <w:tcPr>
            <w:tcW w:w="8828" w:type="dxa"/>
            <w:vAlign w:val="center"/>
          </w:tcPr>
          <w:p w14:paraId="28BBEB91" w14:textId="77777777" w:rsidR="00AF48E1" w:rsidRPr="00AF48E1" w:rsidRDefault="00AF48E1" w:rsidP="00AF48E1">
            <w:pPr>
              <w:rPr>
                <w:rFonts w:ascii="Arial" w:hAnsi="Arial" w:cs="Arial"/>
                <w:bCs/>
                <w:sz w:val="20"/>
                <w:szCs w:val="20"/>
                <w:lang w:val="es-ES"/>
              </w:rPr>
            </w:pPr>
            <w:r w:rsidRPr="00AF48E1">
              <w:rPr>
                <w:rFonts w:ascii="Arial" w:hAnsi="Arial" w:cs="Arial"/>
                <w:bCs/>
                <w:sz w:val="20"/>
                <w:szCs w:val="20"/>
                <w:lang w:val="es-ES"/>
              </w:rPr>
              <w:t>ÁREAS COMPLEMENTARIAS PARA LA CONSERVACIÓN</w:t>
            </w:r>
          </w:p>
        </w:tc>
      </w:tr>
      <w:tr w:rsidR="00AF48E1" w:rsidRPr="00AF48E1" w14:paraId="789B27F7" w14:textId="77777777" w:rsidTr="00AF48E1">
        <w:trPr>
          <w:trHeight w:val="284"/>
          <w:jc w:val="center"/>
        </w:trPr>
        <w:tc>
          <w:tcPr>
            <w:tcW w:w="8828" w:type="dxa"/>
            <w:vAlign w:val="center"/>
          </w:tcPr>
          <w:p w14:paraId="218B507A" w14:textId="77777777" w:rsidR="00AF48E1" w:rsidRPr="00AF48E1" w:rsidRDefault="00AF48E1" w:rsidP="00AF48E1">
            <w:pPr>
              <w:jc w:val="both"/>
              <w:rPr>
                <w:rFonts w:ascii="Arial" w:hAnsi="Arial" w:cs="Arial"/>
                <w:b w:val="0"/>
                <w:sz w:val="20"/>
                <w:szCs w:val="20"/>
                <w:u w:val="single"/>
                <w:lang w:val="es-ES"/>
              </w:rPr>
            </w:pPr>
            <w:r w:rsidRPr="00AF48E1">
              <w:rPr>
                <w:rFonts w:ascii="Arial" w:hAnsi="Arial" w:cs="Arial"/>
                <w:b w:val="0"/>
                <w:sz w:val="20"/>
                <w:szCs w:val="20"/>
                <w:u w:val="single"/>
                <w:lang w:val="es-ES"/>
              </w:rPr>
              <w:t>Otras áreas regionales que no hacen parte del SINAP, metropolitanas, departamentales, distritales y municipales.</w:t>
            </w:r>
          </w:p>
        </w:tc>
      </w:tr>
      <w:tr w:rsidR="00AF48E1" w:rsidRPr="00AF48E1" w14:paraId="53341BCC" w14:textId="77777777" w:rsidTr="00AF48E1">
        <w:trPr>
          <w:trHeight w:val="284"/>
          <w:jc w:val="center"/>
        </w:trPr>
        <w:tc>
          <w:tcPr>
            <w:tcW w:w="8828" w:type="dxa"/>
            <w:vAlign w:val="center"/>
          </w:tcPr>
          <w:p w14:paraId="7B825CEE" w14:textId="77777777" w:rsidR="00AF48E1" w:rsidRPr="00AF48E1" w:rsidRDefault="00AF48E1" w:rsidP="00AF48E1">
            <w:pPr>
              <w:rPr>
                <w:rFonts w:ascii="Arial" w:hAnsi="Arial" w:cs="Arial"/>
                <w:b w:val="0"/>
                <w:sz w:val="20"/>
                <w:szCs w:val="20"/>
                <w:u w:val="single"/>
                <w:lang w:val="es-ES"/>
              </w:rPr>
            </w:pPr>
            <w:r w:rsidRPr="00AF48E1">
              <w:rPr>
                <w:rFonts w:ascii="Arial" w:hAnsi="Arial" w:cs="Arial"/>
                <w:b w:val="0"/>
                <w:sz w:val="20"/>
                <w:szCs w:val="20"/>
                <w:u w:val="single"/>
                <w:lang w:val="es-ES"/>
              </w:rPr>
              <w:t>Suelos de Protección Municipios de Bucaramanga y Floridablanca</w:t>
            </w:r>
          </w:p>
        </w:tc>
      </w:tr>
      <w:tr w:rsidR="00AF48E1" w:rsidRPr="00AF48E1" w14:paraId="6270A4A9" w14:textId="77777777" w:rsidTr="00AF48E1">
        <w:trPr>
          <w:jc w:val="center"/>
        </w:trPr>
        <w:tc>
          <w:tcPr>
            <w:tcW w:w="8828" w:type="dxa"/>
            <w:vAlign w:val="center"/>
          </w:tcPr>
          <w:p w14:paraId="111B309D" w14:textId="77777777" w:rsidR="00AF48E1" w:rsidRPr="00AF48E1" w:rsidRDefault="00AF48E1" w:rsidP="00AF48E1">
            <w:pPr>
              <w:jc w:val="both"/>
              <w:rPr>
                <w:rFonts w:ascii="Arial" w:hAnsi="Arial" w:cs="Arial"/>
                <w:b w:val="0"/>
                <w:sz w:val="20"/>
                <w:szCs w:val="20"/>
                <w:lang w:val="es-ES"/>
              </w:rPr>
            </w:pPr>
          </w:p>
          <w:tbl>
            <w:tblPr>
              <w:tblStyle w:val="Tablaconcuadrcula"/>
              <w:tblW w:w="0" w:type="auto"/>
              <w:jc w:val="center"/>
              <w:tblLook w:val="04A0" w:firstRow="1" w:lastRow="0" w:firstColumn="1" w:lastColumn="0" w:noHBand="0" w:noVBand="1"/>
            </w:tblPr>
            <w:tblGrid>
              <w:gridCol w:w="1243"/>
              <w:gridCol w:w="1243"/>
            </w:tblGrid>
            <w:tr w:rsidR="00AF48E1" w:rsidRPr="00AF48E1" w14:paraId="24E8FE5E" w14:textId="77777777" w:rsidTr="00551254">
              <w:trPr>
                <w:trHeight w:val="284"/>
                <w:jc w:val="center"/>
              </w:trPr>
              <w:tc>
                <w:tcPr>
                  <w:tcW w:w="1243" w:type="dxa"/>
                  <w:shd w:val="clear" w:color="auto" w:fill="00E6A9"/>
                  <w:vAlign w:val="center"/>
                </w:tcPr>
                <w:p w14:paraId="5B249FCB" w14:textId="77777777" w:rsidR="00AF48E1" w:rsidRPr="00AF48E1" w:rsidRDefault="00AF48E1" w:rsidP="00AF48E1">
                  <w:pPr>
                    <w:jc w:val="center"/>
                    <w:rPr>
                      <w:rFonts w:ascii="Arial" w:hAnsi="Arial" w:cs="Arial"/>
                      <w:bCs/>
                      <w:color w:val="FFFFFF"/>
                      <w:sz w:val="16"/>
                      <w:szCs w:val="16"/>
                      <w:lang w:val="es-ES"/>
                    </w:rPr>
                  </w:pPr>
                  <w:r w:rsidRPr="00AF48E1">
                    <w:rPr>
                      <w:rFonts w:ascii="Arial" w:hAnsi="Arial" w:cs="Arial"/>
                      <w:bCs/>
                      <w:color w:val="FFFFFF"/>
                      <w:sz w:val="16"/>
                      <w:szCs w:val="16"/>
                      <w:lang w:val="es-ES"/>
                    </w:rPr>
                    <w:t>C – 18</w:t>
                  </w:r>
                </w:p>
              </w:tc>
              <w:tc>
                <w:tcPr>
                  <w:tcW w:w="1243" w:type="dxa"/>
                  <w:shd w:val="clear" w:color="auto" w:fill="00A884"/>
                  <w:vAlign w:val="center"/>
                </w:tcPr>
                <w:p w14:paraId="271327C2" w14:textId="77777777" w:rsidR="00AF48E1" w:rsidRPr="00AF48E1" w:rsidRDefault="00AF48E1" w:rsidP="00AF48E1">
                  <w:pPr>
                    <w:jc w:val="center"/>
                    <w:rPr>
                      <w:rFonts w:ascii="Arial" w:hAnsi="Arial" w:cs="Arial"/>
                      <w:bCs/>
                      <w:color w:val="FFFFFF"/>
                      <w:sz w:val="16"/>
                      <w:szCs w:val="16"/>
                      <w:lang w:val="es-ES"/>
                    </w:rPr>
                  </w:pPr>
                  <w:r w:rsidRPr="00AF48E1">
                    <w:rPr>
                      <w:rFonts w:ascii="Arial" w:hAnsi="Arial" w:cs="Arial"/>
                      <w:bCs/>
                      <w:color w:val="FFFFFF"/>
                      <w:sz w:val="16"/>
                      <w:szCs w:val="16"/>
                      <w:lang w:val="es-ES"/>
                    </w:rPr>
                    <w:t>C – 19</w:t>
                  </w:r>
                </w:p>
              </w:tc>
            </w:tr>
          </w:tbl>
          <w:p w14:paraId="19731B2A" w14:textId="77777777" w:rsidR="00AF48E1" w:rsidRPr="00AF48E1" w:rsidRDefault="00AF48E1" w:rsidP="00AF48E1">
            <w:pPr>
              <w:jc w:val="both"/>
              <w:rPr>
                <w:rFonts w:ascii="Arial" w:hAnsi="Arial" w:cs="Arial"/>
                <w:b w:val="0"/>
                <w:sz w:val="20"/>
                <w:szCs w:val="20"/>
                <w:lang w:val="es-ES"/>
              </w:rPr>
            </w:pPr>
          </w:p>
          <w:p w14:paraId="6FE5EAE1" w14:textId="77777777" w:rsidR="00AF48E1" w:rsidRPr="00AF48E1" w:rsidRDefault="00AF48E1" w:rsidP="00AF48E1">
            <w:pPr>
              <w:jc w:val="both"/>
              <w:rPr>
                <w:rFonts w:ascii="Arial" w:hAnsi="Arial" w:cs="Arial"/>
                <w:b w:val="0"/>
                <w:sz w:val="20"/>
                <w:szCs w:val="20"/>
                <w:lang w:val="es-ES"/>
              </w:rPr>
            </w:pPr>
            <w:r w:rsidRPr="00AF48E1">
              <w:rPr>
                <w:rFonts w:ascii="Arial" w:hAnsi="Arial" w:cs="Arial"/>
                <w:b w:val="0"/>
                <w:sz w:val="20"/>
                <w:szCs w:val="20"/>
                <w:lang w:val="es-ES"/>
              </w:rPr>
              <w:t>Para la elaboración de la zonificación ambiental para la cuenca Alto Lebrija se tomó como referencia la metodología indicada en la Guía Técnica para la Formulación de los Planes de Ordenación y Manejo de Cuencas Hidrográficas propuesta por el Ministerio del Medio Ambiente del año 2014, dentro de la cual, en el “</w:t>
            </w:r>
            <w:r w:rsidRPr="00AF48E1">
              <w:rPr>
                <w:rFonts w:ascii="Arial" w:hAnsi="Arial" w:cs="Arial"/>
                <w:b w:val="0"/>
                <w:i/>
                <w:iCs/>
                <w:sz w:val="20"/>
                <w:szCs w:val="20"/>
                <w:lang w:val="es-ES"/>
              </w:rPr>
              <w:t>paso 1: delimitación áreas y ecosistemas estratégicos</w:t>
            </w:r>
            <w:r w:rsidRPr="00AF48E1">
              <w:rPr>
                <w:rFonts w:ascii="Arial" w:hAnsi="Arial" w:cs="Arial"/>
                <w:b w:val="0"/>
                <w:sz w:val="20"/>
                <w:szCs w:val="20"/>
                <w:lang w:val="es-ES"/>
              </w:rPr>
              <w:t>”, entre otras zonas, se incorporaron las áreas complementarias de conservación; en las áreas correspondientes a suelos de protección que hacen parte de los planes y esquemas de ordenamiento territorial (POT o EOT), se tomó la información del POT de Bucaramanga y Floridablanca los cuales estaban en escala detallada y actualizado; el resto de suelos de protección corresponden a estudios a escalas de información no detallada y se encuentran desactualizados, por lo cual se realizó un cruce con las áreas SINAP y las áreas de importancia, las que no se superponían con ningún ecosistema estratégico o área de importancia ambiental identificada fueron removidos, sin embargo, el área restante se respetó de acuerdo a las áreas del SINAP o de importancia ambiental definidos en el estudio POMCA.</w:t>
            </w:r>
          </w:p>
        </w:tc>
      </w:tr>
      <w:tr w:rsidR="00AF48E1" w:rsidRPr="00AF48E1" w14:paraId="1A199296" w14:textId="77777777" w:rsidTr="00AF48E1">
        <w:trPr>
          <w:trHeight w:val="284"/>
          <w:jc w:val="center"/>
        </w:trPr>
        <w:tc>
          <w:tcPr>
            <w:tcW w:w="8828" w:type="dxa"/>
            <w:vAlign w:val="center"/>
          </w:tcPr>
          <w:p w14:paraId="384DC209" w14:textId="77777777" w:rsidR="00AF48E1" w:rsidRPr="00AF48E1" w:rsidRDefault="00AF48E1" w:rsidP="00AF48E1">
            <w:pPr>
              <w:jc w:val="both"/>
              <w:rPr>
                <w:rFonts w:ascii="Arial" w:hAnsi="Arial" w:cs="Arial"/>
                <w:bCs/>
                <w:sz w:val="20"/>
                <w:szCs w:val="20"/>
                <w:lang w:val="es-ES"/>
              </w:rPr>
            </w:pPr>
            <w:r w:rsidRPr="00AF48E1">
              <w:rPr>
                <w:rFonts w:ascii="Arial" w:hAnsi="Arial" w:cs="Arial"/>
                <w:bCs/>
                <w:sz w:val="20"/>
                <w:szCs w:val="20"/>
                <w:lang w:val="es-ES"/>
              </w:rPr>
              <w:t>5.3.2.</w:t>
            </w:r>
            <w:r w:rsidRPr="00AF48E1">
              <w:rPr>
                <w:rFonts w:ascii="Arial" w:hAnsi="Arial" w:cs="Arial"/>
                <w:bCs/>
                <w:sz w:val="20"/>
                <w:szCs w:val="20"/>
                <w:lang w:val="es-ES"/>
              </w:rPr>
              <w:tab/>
              <w:t>CATEGORÍA DE USO MÚLTIPLE</w:t>
            </w:r>
          </w:p>
        </w:tc>
      </w:tr>
      <w:tr w:rsidR="00AF48E1" w:rsidRPr="00AF48E1" w14:paraId="430D4ED8" w14:textId="77777777" w:rsidTr="00AF48E1">
        <w:trPr>
          <w:trHeight w:val="284"/>
          <w:jc w:val="center"/>
        </w:trPr>
        <w:tc>
          <w:tcPr>
            <w:tcW w:w="8828" w:type="dxa"/>
            <w:vAlign w:val="center"/>
          </w:tcPr>
          <w:p w14:paraId="57967B84" w14:textId="77777777" w:rsidR="00AF48E1" w:rsidRPr="00AF48E1" w:rsidRDefault="00AF48E1" w:rsidP="00AF48E1">
            <w:pPr>
              <w:jc w:val="both"/>
              <w:rPr>
                <w:rFonts w:ascii="Arial" w:hAnsi="Arial" w:cs="Arial"/>
                <w:bCs/>
                <w:sz w:val="20"/>
                <w:szCs w:val="20"/>
                <w:lang w:val="es-ES"/>
              </w:rPr>
            </w:pPr>
            <w:r w:rsidRPr="00AF48E1">
              <w:rPr>
                <w:rFonts w:ascii="Arial" w:hAnsi="Arial" w:cs="Arial"/>
                <w:bCs/>
                <w:sz w:val="20"/>
                <w:szCs w:val="20"/>
                <w:lang w:val="es-ES"/>
              </w:rPr>
              <w:t>ÁREAS URBANAS (ÁREAS URBANAS, MUNICIPALES Y DISTRITALES)</w:t>
            </w:r>
          </w:p>
        </w:tc>
      </w:tr>
      <w:tr w:rsidR="00AF48E1" w:rsidRPr="00AF48E1" w14:paraId="501FC841" w14:textId="77777777" w:rsidTr="00AF48E1">
        <w:trPr>
          <w:jc w:val="center"/>
        </w:trPr>
        <w:tc>
          <w:tcPr>
            <w:tcW w:w="8828" w:type="dxa"/>
            <w:vAlign w:val="center"/>
          </w:tcPr>
          <w:p w14:paraId="709690C7" w14:textId="77777777" w:rsidR="00AF48E1" w:rsidRPr="00AF48E1" w:rsidRDefault="00AF48E1" w:rsidP="00AF48E1">
            <w:pPr>
              <w:jc w:val="both"/>
              <w:rPr>
                <w:rFonts w:ascii="Arial" w:hAnsi="Arial" w:cs="Arial"/>
                <w:b w:val="0"/>
                <w:sz w:val="20"/>
                <w:szCs w:val="20"/>
                <w:lang w:val="es-ES"/>
              </w:rPr>
            </w:pPr>
          </w:p>
          <w:tbl>
            <w:tblPr>
              <w:tblStyle w:val="Tablaconcuadrcula"/>
              <w:tblW w:w="0" w:type="auto"/>
              <w:jc w:val="center"/>
              <w:tblLook w:val="04A0" w:firstRow="1" w:lastRow="0" w:firstColumn="1" w:lastColumn="0" w:noHBand="0" w:noVBand="1"/>
            </w:tblPr>
            <w:tblGrid>
              <w:gridCol w:w="1243"/>
            </w:tblGrid>
            <w:tr w:rsidR="00AF48E1" w:rsidRPr="00AF48E1" w14:paraId="521F425E" w14:textId="77777777" w:rsidTr="00551254">
              <w:trPr>
                <w:trHeight w:val="284"/>
                <w:jc w:val="center"/>
              </w:trPr>
              <w:tc>
                <w:tcPr>
                  <w:tcW w:w="1243" w:type="dxa"/>
                  <w:shd w:val="clear" w:color="auto" w:fill="686868"/>
                  <w:vAlign w:val="center"/>
                </w:tcPr>
                <w:p w14:paraId="5B3D1A1A" w14:textId="77777777" w:rsidR="00AF48E1" w:rsidRPr="00AF48E1" w:rsidRDefault="00AF48E1" w:rsidP="00AF48E1">
                  <w:pPr>
                    <w:jc w:val="center"/>
                    <w:rPr>
                      <w:rFonts w:ascii="Arial" w:hAnsi="Arial" w:cs="Arial"/>
                      <w:bCs/>
                      <w:color w:val="FFFFFF"/>
                      <w:sz w:val="16"/>
                      <w:szCs w:val="16"/>
                      <w:lang w:val="es-ES"/>
                    </w:rPr>
                  </w:pPr>
                  <w:r w:rsidRPr="00AF48E1">
                    <w:rPr>
                      <w:rFonts w:ascii="Arial" w:hAnsi="Arial" w:cs="Arial"/>
                      <w:bCs/>
                      <w:color w:val="FFFFFF"/>
                      <w:sz w:val="16"/>
                      <w:szCs w:val="16"/>
                      <w:lang w:val="es-ES"/>
                    </w:rPr>
                    <w:t>M – 08</w:t>
                  </w:r>
                </w:p>
              </w:tc>
            </w:tr>
          </w:tbl>
          <w:p w14:paraId="1441F1B5" w14:textId="77777777" w:rsidR="00AF48E1" w:rsidRPr="00AF48E1" w:rsidRDefault="00AF48E1" w:rsidP="00AF48E1">
            <w:pPr>
              <w:jc w:val="both"/>
              <w:rPr>
                <w:rFonts w:ascii="Arial" w:hAnsi="Arial" w:cs="Arial"/>
                <w:b w:val="0"/>
                <w:sz w:val="20"/>
                <w:szCs w:val="20"/>
                <w:lang w:val="es-ES"/>
              </w:rPr>
            </w:pPr>
          </w:p>
          <w:p w14:paraId="40E27343" w14:textId="77777777" w:rsidR="00AF48E1" w:rsidRPr="00AF48E1" w:rsidRDefault="00AF48E1" w:rsidP="00AF48E1">
            <w:pPr>
              <w:jc w:val="both"/>
              <w:rPr>
                <w:rFonts w:ascii="Arial" w:hAnsi="Arial" w:cs="Arial"/>
                <w:b w:val="0"/>
                <w:sz w:val="20"/>
                <w:szCs w:val="20"/>
                <w:lang w:val="es-ES"/>
              </w:rPr>
            </w:pPr>
            <w:r w:rsidRPr="00AF48E1">
              <w:rPr>
                <w:rFonts w:ascii="Arial" w:hAnsi="Arial" w:cs="Arial"/>
                <w:b w:val="0"/>
                <w:sz w:val="20"/>
                <w:szCs w:val="20"/>
                <w:lang w:val="es-ES"/>
              </w:rPr>
              <w:t>las áreas urbanas se refieren a las áreas que están definidas en el artículo 31 de la Ley 388 de 1997, requieren ser delimitadas con base en la cartografía del IGAC incluyendo límites de polígonos urbanos establecidos por los respectivos POT (MADS, 2014).</w:t>
            </w:r>
          </w:p>
          <w:p w14:paraId="4A6CA842" w14:textId="77777777" w:rsidR="00AF48E1" w:rsidRPr="00AF48E1" w:rsidRDefault="00AF48E1" w:rsidP="00AF48E1">
            <w:pPr>
              <w:jc w:val="both"/>
              <w:rPr>
                <w:rFonts w:ascii="Arial" w:hAnsi="Arial" w:cs="Arial"/>
                <w:b w:val="0"/>
                <w:sz w:val="20"/>
                <w:szCs w:val="20"/>
                <w:lang w:val="es-ES"/>
              </w:rPr>
            </w:pPr>
          </w:p>
          <w:p w14:paraId="457FBA6D" w14:textId="77777777" w:rsidR="00AF48E1" w:rsidRPr="00AF48E1" w:rsidRDefault="00AF48E1" w:rsidP="00AF48E1">
            <w:pPr>
              <w:jc w:val="both"/>
              <w:rPr>
                <w:rFonts w:ascii="Arial" w:hAnsi="Arial" w:cs="Arial"/>
                <w:b w:val="0"/>
                <w:sz w:val="20"/>
                <w:szCs w:val="20"/>
                <w:lang w:val="es-ES"/>
              </w:rPr>
            </w:pPr>
            <w:r w:rsidRPr="00AF48E1">
              <w:rPr>
                <w:rFonts w:ascii="Arial" w:hAnsi="Arial" w:cs="Arial"/>
                <w:b w:val="0"/>
                <w:sz w:val="20"/>
                <w:szCs w:val="20"/>
                <w:lang w:val="es-ES"/>
              </w:rPr>
              <w:lastRenderedPageBreak/>
              <w:t>Por su parte, en lo que respecta a las áreas urbanas, en la cuenca se identifican Bucaramanga, California, Charta, El Playón, Floridablanca, Girón, Lebrija, Matanza, Piedecuesta, Rionegro, Suratá, Tona, Vetas.</w:t>
            </w:r>
          </w:p>
        </w:tc>
      </w:tr>
    </w:tbl>
    <w:p w14:paraId="0EEA74D4" w14:textId="77777777" w:rsidR="00F84716" w:rsidRPr="00F84716" w:rsidRDefault="00F84716" w:rsidP="00F84716">
      <w:pPr>
        <w:jc w:val="both"/>
        <w:rPr>
          <w:rFonts w:ascii="Arial" w:hAnsi="Arial" w:cs="Arial"/>
          <w:bCs/>
          <w:sz w:val="16"/>
          <w:szCs w:val="16"/>
          <w:lang w:val="es-ES"/>
        </w:rPr>
      </w:pPr>
      <w:r w:rsidRPr="00F84716">
        <w:rPr>
          <w:rFonts w:ascii="Arial" w:hAnsi="Arial" w:cs="Arial"/>
          <w:bCs/>
          <w:sz w:val="16"/>
          <w:szCs w:val="16"/>
          <w:lang w:val="es-ES"/>
        </w:rPr>
        <w:lastRenderedPageBreak/>
        <w:t xml:space="preserve">Fuente: </w:t>
      </w:r>
      <w:r w:rsidRPr="00F84716">
        <w:rPr>
          <w:rFonts w:ascii="Arial" w:hAnsi="Arial" w:cs="Arial"/>
          <w:b w:val="0"/>
          <w:sz w:val="16"/>
          <w:szCs w:val="16"/>
          <w:lang w:val="es-ES"/>
        </w:rPr>
        <w:t>POMCA Alto Lebrija, consultoría para el ajuste (actualización) del plan de ordenación y manejo de la cuenca hidrográfica Alto Lebrija (código 2319-01), adoptado mediante Resolución CDMB N° 0392 de julio 17 de 2020.</w:t>
      </w:r>
    </w:p>
    <w:p w14:paraId="1A3BA12B" w14:textId="77777777" w:rsidR="00F84716" w:rsidRDefault="00F84716" w:rsidP="00BA60DD">
      <w:pPr>
        <w:jc w:val="both"/>
        <w:rPr>
          <w:rFonts w:ascii="Arial" w:eastAsiaTheme="minorHAnsi" w:hAnsi="Arial" w:cs="Arial"/>
          <w:b w:val="0"/>
          <w:sz w:val="20"/>
          <w:szCs w:val="20"/>
          <w:lang w:val="es-ES"/>
        </w:rPr>
      </w:pPr>
    </w:p>
    <w:p w14:paraId="425F4B7B" w14:textId="77777777" w:rsidR="00570F5D" w:rsidRDefault="00570F5D" w:rsidP="00BA60DD">
      <w:pPr>
        <w:jc w:val="both"/>
        <w:rPr>
          <w:rFonts w:ascii="Arial" w:eastAsiaTheme="minorHAnsi" w:hAnsi="Arial" w:cs="Arial"/>
          <w:b w:val="0"/>
          <w:sz w:val="20"/>
          <w:szCs w:val="20"/>
          <w:lang w:val="es-ES"/>
        </w:rPr>
      </w:pPr>
    </w:p>
    <w:p w14:paraId="52A6D85A" w14:textId="775BD8F4" w:rsidR="00B93705" w:rsidRPr="00B93705" w:rsidRDefault="00B93705" w:rsidP="00B93705">
      <w:pPr>
        <w:jc w:val="both"/>
        <w:rPr>
          <w:rFonts w:ascii="Arial" w:eastAsiaTheme="minorHAnsi" w:hAnsi="Arial" w:cs="Arial"/>
          <w:b w:val="0"/>
        </w:rPr>
      </w:pPr>
      <w:r w:rsidRPr="00B93705">
        <w:rPr>
          <w:rFonts w:ascii="Arial" w:eastAsiaTheme="minorHAnsi" w:hAnsi="Arial" w:cs="Arial"/>
          <w:b w:val="0"/>
        </w:rPr>
        <w:t xml:space="preserve">Por otra parte, al efectuar el análisis cartográfico </w:t>
      </w:r>
      <w:r w:rsidRPr="00B93705">
        <w:rPr>
          <w:rFonts w:ascii="Arial" w:eastAsiaTheme="minorHAnsi" w:hAnsi="Arial" w:cs="Arial"/>
          <w:b w:val="0"/>
          <w:iCs/>
        </w:rPr>
        <w:t>(</w:t>
      </w:r>
      <w:r w:rsidRPr="00B93705">
        <w:rPr>
          <w:rFonts w:ascii="Arial" w:eastAsiaTheme="minorHAnsi" w:hAnsi="Arial" w:cs="Arial"/>
          <w:bCs/>
          <w:iCs/>
        </w:rPr>
        <w:t xml:space="preserve">ver. salida cartográfica anexa N° </w:t>
      </w:r>
      <w:r w:rsidR="00CC7800">
        <w:rPr>
          <w:rFonts w:ascii="Arial" w:eastAsiaTheme="minorHAnsi" w:hAnsi="Arial" w:cs="Arial"/>
          <w:bCs/>
          <w:iCs/>
        </w:rPr>
        <w:t>2</w:t>
      </w:r>
      <w:r w:rsidRPr="00B93705">
        <w:rPr>
          <w:rFonts w:ascii="Arial" w:eastAsiaTheme="minorHAnsi" w:hAnsi="Arial" w:cs="Arial"/>
          <w:b w:val="0"/>
          <w:iCs/>
        </w:rPr>
        <w:t>)</w:t>
      </w:r>
      <w:r w:rsidRPr="00B93705">
        <w:rPr>
          <w:rFonts w:ascii="Arial" w:eastAsiaTheme="minorHAnsi" w:hAnsi="Arial" w:cs="Arial"/>
          <w:b w:val="0"/>
          <w:i/>
        </w:rPr>
        <w:t>,</w:t>
      </w:r>
      <w:r w:rsidRPr="00B93705">
        <w:rPr>
          <w:rFonts w:ascii="Arial" w:eastAsiaTheme="minorHAnsi" w:hAnsi="Arial" w:cs="Arial"/>
          <w:b w:val="0"/>
        </w:rPr>
        <w:t xml:space="preserve"> se observa la existencia de numerosas corrientes al interior de los predios objeto de la presente consulta, nominadas bajo codificación CDMB N°</w:t>
      </w:r>
      <w:r w:rsidR="00D324F0">
        <w:rPr>
          <w:rFonts w:ascii="Arial" w:eastAsiaTheme="minorHAnsi" w:hAnsi="Arial" w:cs="Arial"/>
          <w:bCs/>
        </w:rPr>
        <w:t>00</w:t>
      </w:r>
      <w:r w:rsidRPr="00B93705">
        <w:rPr>
          <w:rFonts w:ascii="Arial" w:eastAsiaTheme="minorHAnsi" w:hAnsi="Arial" w:cs="Arial"/>
          <w:bCs/>
        </w:rPr>
        <w:t xml:space="preserve"> (</w:t>
      </w:r>
      <w:r w:rsidR="00D324F0">
        <w:rPr>
          <w:rFonts w:ascii="Arial" w:eastAsiaTheme="minorHAnsi" w:hAnsi="Arial" w:cs="Arial"/>
          <w:bCs/>
        </w:rPr>
        <w:t>Río de Oro</w:t>
      </w:r>
      <w:r w:rsidRPr="00B93705">
        <w:rPr>
          <w:rFonts w:ascii="Arial" w:eastAsiaTheme="minorHAnsi" w:hAnsi="Arial" w:cs="Arial"/>
          <w:bCs/>
        </w:rPr>
        <w:t>),</w:t>
      </w:r>
      <w:r w:rsidR="00D324F0">
        <w:rPr>
          <w:rFonts w:ascii="Arial" w:eastAsiaTheme="minorHAnsi" w:hAnsi="Arial" w:cs="Arial"/>
          <w:bCs/>
        </w:rPr>
        <w:t xml:space="preserve"> 306</w:t>
      </w:r>
      <w:r w:rsidR="00C60404">
        <w:rPr>
          <w:rFonts w:ascii="Arial" w:eastAsiaTheme="minorHAnsi" w:hAnsi="Arial" w:cs="Arial"/>
          <w:bCs/>
        </w:rPr>
        <w:t xml:space="preserve"> y 308</w:t>
      </w:r>
      <w:r w:rsidRPr="00B93705">
        <w:rPr>
          <w:rFonts w:ascii="Arial" w:eastAsiaTheme="minorHAnsi" w:hAnsi="Arial" w:cs="Arial"/>
          <w:bCs/>
        </w:rPr>
        <w:t>.</w:t>
      </w:r>
    </w:p>
    <w:p w14:paraId="65C6D5F3" w14:textId="77777777" w:rsidR="00B93705" w:rsidRPr="00B93705" w:rsidRDefault="00B93705" w:rsidP="00B93705">
      <w:pPr>
        <w:jc w:val="both"/>
        <w:rPr>
          <w:rFonts w:ascii="Arial" w:eastAsiaTheme="minorHAnsi" w:hAnsi="Arial" w:cs="Arial"/>
          <w:b w:val="0"/>
        </w:rPr>
      </w:pPr>
    </w:p>
    <w:p w14:paraId="180AC2A4" w14:textId="77777777" w:rsidR="00B93705" w:rsidRPr="00B93705" w:rsidRDefault="00B93705" w:rsidP="00B93705">
      <w:pPr>
        <w:jc w:val="both"/>
        <w:rPr>
          <w:rFonts w:ascii="Arial" w:eastAsiaTheme="minorHAnsi" w:hAnsi="Arial" w:cs="Arial"/>
          <w:b w:val="0"/>
        </w:rPr>
      </w:pPr>
      <w:r w:rsidRPr="00B93705">
        <w:rPr>
          <w:rFonts w:ascii="Arial" w:eastAsiaTheme="minorHAnsi" w:hAnsi="Arial" w:cs="Arial"/>
          <w:b w:val="0"/>
        </w:rPr>
        <w:t xml:space="preserve">Por tal razón, a efectos de respetarse los aislamientos con respecto a la ronda hídrica, se hace necesario mencionar la </w:t>
      </w:r>
      <w:r w:rsidRPr="00B93705">
        <w:rPr>
          <w:rFonts w:ascii="Arial" w:eastAsiaTheme="minorHAnsi" w:hAnsi="Arial" w:cs="Arial"/>
          <w:bCs/>
        </w:rPr>
        <w:t>Resolución CDMB 1688 del 23 de diciembre de 2019</w:t>
      </w:r>
      <w:r w:rsidRPr="00B93705">
        <w:rPr>
          <w:rFonts w:ascii="Arial" w:eastAsiaTheme="minorHAnsi" w:hAnsi="Arial" w:cs="Arial"/>
          <w:b w:val="0"/>
        </w:rPr>
        <w:t>, “Por la cual se actualizan las Determinantes Ambientales para la Elaboración y Adopción de los Planes de Ordenamiento Territorial, Planes Básicos de Ordenamiento Territorial y Esquemas de Ordenamiento Territorial de los Municipios del área de jurisdicción de la Corporación Autónoma Regional para la Defensa de la Meseta de Bucaramanga y se dictan otras Disposiciones”, que incorpora en el numeral 7</w:t>
      </w:r>
      <w:r w:rsidRPr="00B93705">
        <w:rPr>
          <w:rFonts w:ascii="Arial" w:eastAsiaTheme="minorHAnsi" w:hAnsi="Arial" w:cs="Arial"/>
          <w:bCs/>
        </w:rPr>
        <w:t>.3 DIRECTRICES, NORMAS Y/O REGLAMENTOS EXPEDIDOS POR LA AUTORIDAD AMBIENTAL (CDMB)</w:t>
      </w:r>
      <w:r w:rsidRPr="00B93705">
        <w:rPr>
          <w:rFonts w:ascii="Arial" w:eastAsiaTheme="minorHAnsi" w:hAnsi="Arial" w:cs="Arial"/>
          <w:b w:val="0"/>
        </w:rPr>
        <w:t xml:space="preserve">, el Manual de Normas Técnicas para el Control de la Erosión y para la realización de Estudios Geológicos, Geotécnicos e Hidrológicos en el área de jurisdicción de la CDMB (Normas Geotécnicas CDMB), adoptado mediante </w:t>
      </w:r>
      <w:r w:rsidRPr="00B93705">
        <w:rPr>
          <w:rFonts w:ascii="Arial" w:eastAsiaTheme="minorHAnsi" w:hAnsi="Arial" w:cs="Arial"/>
          <w:bCs/>
        </w:rPr>
        <w:t>Resolución CDMB 1294 de 2009; el cual establece en los numerales 7.3 AISLAMIENTOS O ZONAS DE PROTECCION y 7.5 AISLAMIENTOS MINIMOS EN CAUCES, del Capítulo VII REQUISITOS PARA EL MANEJO DE PROYECTOS DE DESARROLLO</w:t>
      </w:r>
      <w:r w:rsidRPr="00B93705">
        <w:rPr>
          <w:rFonts w:ascii="Arial" w:eastAsiaTheme="minorHAnsi" w:hAnsi="Arial" w:cs="Arial"/>
          <w:b w:val="0"/>
        </w:rPr>
        <w:t>, los aislamientos mínimos a conservar con respecto a cauces secundarios, los cuales deben ser superior en todos los casos a la mayor de las distancias indicadas en el numeral 7.5.1 Aislamientos en cauces principales, que se muestra a continuación:</w:t>
      </w:r>
    </w:p>
    <w:p w14:paraId="6FD9CE9D" w14:textId="77777777" w:rsidR="00B93705" w:rsidRPr="00B93705" w:rsidRDefault="00B93705" w:rsidP="00B93705">
      <w:pPr>
        <w:jc w:val="both"/>
        <w:rPr>
          <w:rFonts w:ascii="Arial" w:eastAsiaTheme="minorHAnsi" w:hAnsi="Arial" w:cs="Arial"/>
          <w:b w:val="0"/>
        </w:rPr>
      </w:pPr>
    </w:p>
    <w:p w14:paraId="11D8505A" w14:textId="77777777" w:rsidR="00B93705" w:rsidRPr="00B93705" w:rsidRDefault="00B93705" w:rsidP="00B93705">
      <w:pPr>
        <w:jc w:val="both"/>
        <w:rPr>
          <w:rFonts w:ascii="Arial" w:eastAsiaTheme="minorHAnsi" w:hAnsi="Arial" w:cs="Arial"/>
          <w:b w:val="0"/>
          <w:i/>
          <w:iCs/>
        </w:rPr>
      </w:pPr>
      <w:r w:rsidRPr="00B93705">
        <w:rPr>
          <w:rFonts w:ascii="Arial" w:eastAsiaTheme="minorHAnsi" w:hAnsi="Arial" w:cs="Arial"/>
          <w:b w:val="0"/>
          <w:i/>
          <w:iCs/>
        </w:rPr>
        <w:t>“</w:t>
      </w:r>
      <w:r w:rsidRPr="00B93705">
        <w:rPr>
          <w:rFonts w:ascii="Arial" w:eastAsiaTheme="minorHAnsi" w:hAnsi="Arial" w:cs="Arial"/>
          <w:bCs/>
          <w:i/>
          <w:iCs/>
        </w:rPr>
        <w:t>7.5 AISLAMIENTO MÍNIMO EN CAUCES</w:t>
      </w:r>
    </w:p>
    <w:p w14:paraId="328F5527" w14:textId="77777777" w:rsidR="00B93705" w:rsidRPr="00B93705" w:rsidRDefault="00B93705" w:rsidP="00B93705">
      <w:pPr>
        <w:jc w:val="both"/>
        <w:rPr>
          <w:rFonts w:ascii="Arial" w:eastAsiaTheme="minorHAnsi" w:hAnsi="Arial" w:cs="Arial"/>
          <w:b w:val="0"/>
          <w:i/>
          <w:iCs/>
        </w:rPr>
      </w:pPr>
    </w:p>
    <w:p w14:paraId="3FC28572" w14:textId="77777777" w:rsidR="00B93705" w:rsidRPr="00B93705" w:rsidRDefault="00B93705" w:rsidP="00B93705">
      <w:pPr>
        <w:jc w:val="both"/>
        <w:rPr>
          <w:rFonts w:ascii="Arial" w:eastAsiaTheme="minorHAnsi" w:hAnsi="Arial" w:cs="Arial"/>
          <w:b w:val="0"/>
          <w:i/>
          <w:iCs/>
        </w:rPr>
      </w:pPr>
      <w:r w:rsidRPr="00B93705">
        <w:rPr>
          <w:rFonts w:ascii="Arial" w:eastAsiaTheme="minorHAnsi" w:hAnsi="Arial" w:cs="Arial"/>
          <w:b w:val="0"/>
          <w:i/>
          <w:iCs/>
        </w:rPr>
        <w:t>Los aislamientos mínimos entre los proyectos y los cauces de los ríos, quebradas o corrientes son las siguientes:</w:t>
      </w:r>
    </w:p>
    <w:p w14:paraId="24863CCF" w14:textId="77777777" w:rsidR="00B93705" w:rsidRPr="00B93705" w:rsidRDefault="00B93705" w:rsidP="00B93705">
      <w:pPr>
        <w:jc w:val="both"/>
        <w:rPr>
          <w:rFonts w:ascii="Arial" w:eastAsiaTheme="minorHAnsi" w:hAnsi="Arial" w:cs="Arial"/>
          <w:b w:val="0"/>
          <w:i/>
          <w:iCs/>
        </w:rPr>
      </w:pPr>
    </w:p>
    <w:p w14:paraId="4CD7953C" w14:textId="77777777" w:rsidR="00B93705" w:rsidRPr="00B93705" w:rsidRDefault="00B93705" w:rsidP="00B93705">
      <w:pPr>
        <w:jc w:val="both"/>
        <w:rPr>
          <w:rFonts w:ascii="Arial" w:eastAsiaTheme="minorHAnsi" w:hAnsi="Arial" w:cs="Arial"/>
          <w:bCs/>
          <w:i/>
          <w:iCs/>
        </w:rPr>
      </w:pPr>
      <w:r w:rsidRPr="00B93705">
        <w:rPr>
          <w:rFonts w:ascii="Arial" w:eastAsiaTheme="minorHAnsi" w:hAnsi="Arial" w:cs="Arial"/>
          <w:bCs/>
          <w:i/>
          <w:iCs/>
        </w:rPr>
        <w:t>7.5.1. Aislamientos en cauces principales</w:t>
      </w:r>
    </w:p>
    <w:p w14:paraId="0584F5F1" w14:textId="77777777" w:rsidR="00B93705" w:rsidRPr="00B93705" w:rsidRDefault="00B93705" w:rsidP="00B93705">
      <w:pPr>
        <w:jc w:val="both"/>
        <w:rPr>
          <w:rFonts w:ascii="Arial" w:eastAsiaTheme="minorHAnsi" w:hAnsi="Arial" w:cs="Arial"/>
          <w:b w:val="0"/>
          <w:i/>
          <w:iCs/>
        </w:rPr>
      </w:pPr>
    </w:p>
    <w:p w14:paraId="58DBDB8B" w14:textId="77777777" w:rsidR="00B93705" w:rsidRPr="00B93705" w:rsidRDefault="00B93705" w:rsidP="00B93705">
      <w:pPr>
        <w:numPr>
          <w:ilvl w:val="0"/>
          <w:numId w:val="7"/>
        </w:numPr>
        <w:jc w:val="both"/>
        <w:rPr>
          <w:rFonts w:ascii="Arial" w:eastAsiaTheme="minorHAnsi" w:hAnsi="Arial" w:cs="Arial"/>
          <w:b w:val="0"/>
          <w:i/>
          <w:iCs/>
        </w:rPr>
      </w:pPr>
      <w:r w:rsidRPr="00B93705">
        <w:rPr>
          <w:rFonts w:ascii="Arial" w:eastAsiaTheme="minorHAnsi" w:hAnsi="Arial" w:cs="Arial"/>
          <w:b w:val="0"/>
          <w:i/>
          <w:iCs/>
        </w:rPr>
        <w:t>Río Suratá aguas debajo de la entrega del Río Tona.</w:t>
      </w:r>
    </w:p>
    <w:p w14:paraId="058237CB" w14:textId="77777777" w:rsidR="00B93705" w:rsidRPr="00F11D3C" w:rsidRDefault="00B93705" w:rsidP="00B93705">
      <w:pPr>
        <w:numPr>
          <w:ilvl w:val="0"/>
          <w:numId w:val="7"/>
        </w:numPr>
        <w:jc w:val="both"/>
        <w:rPr>
          <w:rFonts w:ascii="Arial" w:eastAsiaTheme="minorHAnsi" w:hAnsi="Arial" w:cs="Arial"/>
          <w:bCs/>
          <w:i/>
          <w:iCs/>
          <w:u w:val="single"/>
        </w:rPr>
      </w:pPr>
      <w:r w:rsidRPr="00F11D3C">
        <w:rPr>
          <w:rFonts w:ascii="Arial" w:eastAsiaTheme="minorHAnsi" w:hAnsi="Arial" w:cs="Arial"/>
          <w:bCs/>
          <w:i/>
          <w:iCs/>
          <w:u w:val="single"/>
        </w:rPr>
        <w:t>Río de Oro aguas debajo de la entrega del Río Lato.</w:t>
      </w:r>
    </w:p>
    <w:p w14:paraId="6FA3277B" w14:textId="77777777" w:rsidR="00B93705" w:rsidRPr="00B93705" w:rsidRDefault="00B93705" w:rsidP="00B93705">
      <w:pPr>
        <w:numPr>
          <w:ilvl w:val="0"/>
          <w:numId w:val="7"/>
        </w:numPr>
        <w:jc w:val="both"/>
        <w:rPr>
          <w:rFonts w:ascii="Arial" w:eastAsiaTheme="minorHAnsi" w:hAnsi="Arial" w:cs="Arial"/>
          <w:b w:val="0"/>
          <w:i/>
          <w:iCs/>
        </w:rPr>
      </w:pPr>
      <w:r w:rsidRPr="00B93705">
        <w:rPr>
          <w:rFonts w:ascii="Arial" w:eastAsiaTheme="minorHAnsi" w:hAnsi="Arial" w:cs="Arial"/>
          <w:b w:val="0"/>
          <w:i/>
          <w:iCs/>
        </w:rPr>
        <w:t>Rio Frío aguas debajo de la entrega de la quebrada la estación o Aranzoque.</w:t>
      </w:r>
    </w:p>
    <w:p w14:paraId="612E977D" w14:textId="77777777" w:rsidR="00B93705" w:rsidRPr="00B93705" w:rsidRDefault="00B93705" w:rsidP="00B93705">
      <w:pPr>
        <w:numPr>
          <w:ilvl w:val="0"/>
          <w:numId w:val="7"/>
        </w:numPr>
        <w:jc w:val="both"/>
        <w:rPr>
          <w:rFonts w:ascii="Arial" w:eastAsiaTheme="minorHAnsi" w:hAnsi="Arial" w:cs="Arial"/>
          <w:b w:val="0"/>
          <w:i/>
          <w:iCs/>
        </w:rPr>
      </w:pPr>
      <w:r w:rsidRPr="00B93705">
        <w:rPr>
          <w:rFonts w:ascii="Arial" w:eastAsiaTheme="minorHAnsi" w:hAnsi="Arial" w:cs="Arial"/>
          <w:b w:val="0"/>
          <w:i/>
          <w:iCs/>
        </w:rPr>
        <w:t>Todos los ríos con caudal de creciente básico superior a 100 metros cúbicos por segundo.</w:t>
      </w:r>
    </w:p>
    <w:p w14:paraId="53766F59" w14:textId="77777777" w:rsidR="00B93705" w:rsidRPr="00B93705" w:rsidRDefault="00B93705" w:rsidP="00B93705">
      <w:pPr>
        <w:jc w:val="both"/>
        <w:rPr>
          <w:rFonts w:ascii="Arial" w:eastAsiaTheme="minorHAnsi" w:hAnsi="Arial" w:cs="Arial"/>
          <w:b w:val="0"/>
          <w:i/>
          <w:iCs/>
        </w:rPr>
      </w:pPr>
    </w:p>
    <w:p w14:paraId="019A9A7A" w14:textId="77777777" w:rsidR="00B93705" w:rsidRPr="00B93705" w:rsidRDefault="00B93705" w:rsidP="00B93705">
      <w:pPr>
        <w:jc w:val="both"/>
        <w:rPr>
          <w:rFonts w:ascii="Arial" w:eastAsiaTheme="minorHAnsi" w:hAnsi="Arial" w:cs="Arial"/>
          <w:b w:val="0"/>
          <w:i/>
          <w:iCs/>
        </w:rPr>
      </w:pPr>
      <w:r w:rsidRPr="00B93705">
        <w:rPr>
          <w:rFonts w:ascii="Arial" w:eastAsiaTheme="minorHAnsi" w:hAnsi="Arial" w:cs="Arial"/>
          <w:b w:val="0"/>
          <w:i/>
          <w:iCs/>
        </w:rPr>
        <w:t>El aislamiento o zonas de protección entre el proyecto y los cauces principales debe ser superior en todos los casos a la mayor de las siguientes distancias.</w:t>
      </w:r>
    </w:p>
    <w:p w14:paraId="2324F870" w14:textId="77777777" w:rsidR="00B93705" w:rsidRPr="00B93705" w:rsidRDefault="00B93705" w:rsidP="00B93705">
      <w:pPr>
        <w:jc w:val="both"/>
        <w:rPr>
          <w:rFonts w:ascii="Arial" w:eastAsiaTheme="minorHAnsi" w:hAnsi="Arial" w:cs="Arial"/>
          <w:b w:val="0"/>
          <w:i/>
          <w:iCs/>
        </w:rPr>
      </w:pPr>
    </w:p>
    <w:p w14:paraId="5C5BAA6B" w14:textId="77777777" w:rsidR="00B93705" w:rsidRPr="00B93705" w:rsidRDefault="00B93705" w:rsidP="00B93705">
      <w:pPr>
        <w:numPr>
          <w:ilvl w:val="0"/>
          <w:numId w:val="8"/>
        </w:numPr>
        <w:jc w:val="both"/>
        <w:rPr>
          <w:rFonts w:ascii="Arial" w:eastAsiaTheme="minorHAnsi" w:hAnsi="Arial" w:cs="Arial"/>
          <w:b w:val="0"/>
          <w:i/>
          <w:iCs/>
        </w:rPr>
      </w:pPr>
      <w:r w:rsidRPr="00B93705">
        <w:rPr>
          <w:rFonts w:ascii="Arial" w:eastAsiaTheme="minorHAnsi" w:hAnsi="Arial" w:cs="Arial"/>
          <w:b w:val="0"/>
          <w:i/>
          <w:iCs/>
        </w:rPr>
        <w:lastRenderedPageBreak/>
        <w:t>A menos de 30 metros de la corona del talud actual del cauce general del río. Este aislamiento debe mantenerse en todos los casos, independiente de que se construya diques u obra para el control de erosión y/o inundación.</w:t>
      </w:r>
    </w:p>
    <w:p w14:paraId="43A5A605" w14:textId="77777777" w:rsidR="00B93705" w:rsidRPr="00B93705" w:rsidRDefault="00B93705" w:rsidP="00B93705">
      <w:pPr>
        <w:numPr>
          <w:ilvl w:val="0"/>
          <w:numId w:val="8"/>
        </w:numPr>
        <w:jc w:val="both"/>
        <w:rPr>
          <w:rFonts w:ascii="Arial" w:eastAsiaTheme="minorHAnsi" w:hAnsi="Arial" w:cs="Arial"/>
          <w:b w:val="0"/>
          <w:i/>
          <w:iCs/>
        </w:rPr>
      </w:pPr>
      <w:r w:rsidRPr="00B93705">
        <w:rPr>
          <w:rFonts w:ascii="Arial" w:eastAsiaTheme="minorHAnsi" w:hAnsi="Arial" w:cs="Arial"/>
          <w:b w:val="0"/>
          <w:i/>
          <w:iCs/>
        </w:rPr>
        <w:t>A más de 20 metros de la línea de avances proyectada de la erosión del río para un periodo de 100 años, de acuerdo al criterio de la CDMB.</w:t>
      </w:r>
    </w:p>
    <w:p w14:paraId="44DEF990" w14:textId="77777777" w:rsidR="00B93705" w:rsidRPr="00B93705" w:rsidRDefault="00B93705" w:rsidP="00B93705">
      <w:pPr>
        <w:jc w:val="both"/>
        <w:rPr>
          <w:rFonts w:ascii="Arial" w:eastAsiaTheme="minorHAnsi" w:hAnsi="Arial" w:cs="Arial"/>
          <w:b w:val="0"/>
          <w:i/>
          <w:iCs/>
        </w:rPr>
      </w:pPr>
    </w:p>
    <w:p w14:paraId="3918EACC" w14:textId="77777777" w:rsidR="00B93705" w:rsidRPr="00B93705" w:rsidRDefault="00B93705" w:rsidP="00B93705">
      <w:pPr>
        <w:jc w:val="both"/>
        <w:rPr>
          <w:rFonts w:ascii="Arial" w:eastAsiaTheme="minorHAnsi" w:hAnsi="Arial" w:cs="Arial"/>
          <w:b w:val="0"/>
          <w:i/>
          <w:iCs/>
        </w:rPr>
      </w:pPr>
      <w:r w:rsidRPr="00B93705">
        <w:rPr>
          <w:rFonts w:ascii="Arial" w:eastAsiaTheme="minorHAnsi" w:hAnsi="Arial" w:cs="Arial"/>
          <w:b w:val="0"/>
          <w:i/>
          <w:iCs/>
        </w:rPr>
        <w:t>Esta restricción no se tendrá en cuenta si previamente a la construcción del proyecto se construyen las obras mínimas requeridas en las presentes normas para el control de la erosión, a lo largo de la totalidad del borde del cauce frente al proyecto en las dos márgenes de la corriente y las longitudes arriba y abajo del proyecto que se requieran de acuerdo a los criterios de la CDMB.</w:t>
      </w:r>
    </w:p>
    <w:p w14:paraId="0BF453A7" w14:textId="77777777" w:rsidR="00B93705" w:rsidRPr="00B93705" w:rsidRDefault="00B93705" w:rsidP="00B93705">
      <w:pPr>
        <w:jc w:val="both"/>
        <w:rPr>
          <w:rFonts w:ascii="Arial" w:eastAsiaTheme="minorHAnsi" w:hAnsi="Arial" w:cs="Arial"/>
          <w:b w:val="0"/>
          <w:i/>
          <w:iCs/>
        </w:rPr>
      </w:pPr>
    </w:p>
    <w:p w14:paraId="3739E258" w14:textId="77777777" w:rsidR="00B93705" w:rsidRPr="00B93705" w:rsidRDefault="00B93705" w:rsidP="00B93705">
      <w:pPr>
        <w:numPr>
          <w:ilvl w:val="0"/>
          <w:numId w:val="8"/>
        </w:numPr>
        <w:jc w:val="both"/>
        <w:rPr>
          <w:rFonts w:ascii="Arial" w:eastAsiaTheme="minorHAnsi" w:hAnsi="Arial" w:cs="Arial"/>
          <w:b w:val="0"/>
          <w:i/>
          <w:iCs/>
        </w:rPr>
      </w:pPr>
      <w:r w:rsidRPr="00B93705">
        <w:rPr>
          <w:rFonts w:ascii="Arial" w:eastAsiaTheme="minorHAnsi" w:hAnsi="Arial" w:cs="Arial"/>
          <w:b w:val="0"/>
          <w:i/>
          <w:iCs/>
        </w:rPr>
        <w:t>A más de 20 metros de la línea correspondiente a la cota de inundación de la creciente básica (100 años).</w:t>
      </w:r>
    </w:p>
    <w:p w14:paraId="42AD180B" w14:textId="77777777" w:rsidR="00B93705" w:rsidRPr="00B93705" w:rsidRDefault="00B93705" w:rsidP="00B93705">
      <w:pPr>
        <w:jc w:val="both"/>
        <w:rPr>
          <w:rFonts w:ascii="Arial" w:eastAsiaTheme="minorHAnsi" w:hAnsi="Arial" w:cs="Arial"/>
          <w:b w:val="0"/>
          <w:i/>
          <w:iCs/>
        </w:rPr>
      </w:pPr>
    </w:p>
    <w:p w14:paraId="0580422E" w14:textId="77777777" w:rsidR="00B93705" w:rsidRPr="00B93705" w:rsidRDefault="00B93705" w:rsidP="00B93705">
      <w:pPr>
        <w:numPr>
          <w:ilvl w:val="0"/>
          <w:numId w:val="8"/>
        </w:numPr>
        <w:jc w:val="both"/>
        <w:rPr>
          <w:rFonts w:ascii="Arial" w:eastAsiaTheme="minorHAnsi" w:hAnsi="Arial" w:cs="Arial"/>
          <w:b w:val="0"/>
        </w:rPr>
      </w:pPr>
      <w:r w:rsidRPr="00B93705">
        <w:rPr>
          <w:rFonts w:ascii="Arial" w:eastAsiaTheme="minorHAnsi" w:hAnsi="Arial" w:cs="Arial"/>
          <w:b w:val="0"/>
          <w:i/>
          <w:iCs/>
        </w:rPr>
        <w:t>Para los proyectos de potencial de riesgo A y B, el proyecto debe localizarse arriba de una cota mínima correspondiente a la cota de inundación de la creciente básica de (100 años) más una altura correspondiente al 20% del tirante hidráulico máximo del cauce. El análisis hidráulico debe contemplar sobre elevaciones de la lámina de agua por curvatura.</w:t>
      </w:r>
    </w:p>
    <w:p w14:paraId="24778C92" w14:textId="77777777" w:rsidR="00B93705" w:rsidRPr="00B93705" w:rsidRDefault="00B93705" w:rsidP="00B93705">
      <w:pPr>
        <w:jc w:val="both"/>
        <w:rPr>
          <w:rFonts w:ascii="Arial" w:eastAsiaTheme="minorHAnsi" w:hAnsi="Arial" w:cs="Arial"/>
          <w:b w:val="0"/>
          <w:i/>
          <w:iCs/>
        </w:rPr>
      </w:pPr>
      <w:r w:rsidRPr="00B93705">
        <w:rPr>
          <w:rFonts w:ascii="Arial" w:eastAsiaTheme="minorHAnsi" w:hAnsi="Arial" w:cs="Arial"/>
          <w:b w:val="0"/>
          <w:i/>
          <w:iCs/>
        </w:rPr>
        <w:t>(…)</w:t>
      </w:r>
    </w:p>
    <w:p w14:paraId="195876D0" w14:textId="77777777" w:rsidR="00B93705" w:rsidRPr="00B93705" w:rsidRDefault="00B93705" w:rsidP="00B93705">
      <w:pPr>
        <w:jc w:val="both"/>
        <w:rPr>
          <w:rFonts w:ascii="Arial" w:eastAsiaTheme="minorHAnsi" w:hAnsi="Arial" w:cs="Arial"/>
          <w:b w:val="0"/>
        </w:rPr>
      </w:pPr>
    </w:p>
    <w:p w14:paraId="71D2BEC2" w14:textId="77777777" w:rsidR="00B93705" w:rsidRPr="00B93705" w:rsidRDefault="00B93705" w:rsidP="00B93705">
      <w:pPr>
        <w:jc w:val="both"/>
        <w:rPr>
          <w:rFonts w:ascii="Arial" w:eastAsiaTheme="minorHAnsi" w:hAnsi="Arial" w:cs="Arial"/>
          <w:bCs/>
          <w:i/>
          <w:iCs/>
        </w:rPr>
      </w:pPr>
      <w:r w:rsidRPr="00B93705">
        <w:rPr>
          <w:rFonts w:ascii="Arial" w:eastAsiaTheme="minorHAnsi" w:hAnsi="Arial" w:cs="Arial"/>
          <w:bCs/>
          <w:i/>
          <w:iCs/>
        </w:rPr>
        <w:t>7.5.2.  Aislamiento en cauces secundarios</w:t>
      </w:r>
    </w:p>
    <w:p w14:paraId="3CED1755" w14:textId="77777777" w:rsidR="00B93705" w:rsidRPr="00B93705" w:rsidRDefault="00B93705" w:rsidP="00B93705">
      <w:pPr>
        <w:jc w:val="both"/>
        <w:rPr>
          <w:rFonts w:ascii="Arial" w:eastAsiaTheme="minorHAnsi" w:hAnsi="Arial" w:cs="Arial"/>
          <w:bCs/>
          <w:i/>
          <w:iCs/>
        </w:rPr>
      </w:pPr>
    </w:p>
    <w:p w14:paraId="6EA4DF48" w14:textId="77777777" w:rsidR="00B93705" w:rsidRPr="00B93705" w:rsidRDefault="00B93705" w:rsidP="00B93705">
      <w:pPr>
        <w:jc w:val="both"/>
        <w:rPr>
          <w:rFonts w:ascii="Arial" w:eastAsiaTheme="minorHAnsi" w:hAnsi="Arial" w:cs="Arial"/>
          <w:b w:val="0"/>
          <w:i/>
          <w:iCs/>
        </w:rPr>
      </w:pPr>
      <w:r w:rsidRPr="00B93705">
        <w:rPr>
          <w:rFonts w:ascii="Arial" w:eastAsiaTheme="minorHAnsi" w:hAnsi="Arial" w:cs="Arial"/>
          <w:b w:val="0"/>
          <w:i/>
          <w:iCs/>
        </w:rPr>
        <w:t>Los cauces secundarios son todos aquellos ríos y corrientes permanentes o no permanente con caudales máximos para la creciente básico (periodo de retorno de 100 años) inferiores a 100 metros cúbicos por segundo.</w:t>
      </w:r>
    </w:p>
    <w:p w14:paraId="4616D154" w14:textId="77777777" w:rsidR="00B93705" w:rsidRPr="00B93705" w:rsidRDefault="00B93705" w:rsidP="00B93705">
      <w:pPr>
        <w:jc w:val="both"/>
        <w:rPr>
          <w:rFonts w:ascii="Arial" w:eastAsiaTheme="minorHAnsi" w:hAnsi="Arial" w:cs="Arial"/>
          <w:b w:val="0"/>
          <w:i/>
          <w:iCs/>
        </w:rPr>
      </w:pPr>
    </w:p>
    <w:p w14:paraId="74696D3D" w14:textId="77777777" w:rsidR="00B93705" w:rsidRPr="00B93705" w:rsidRDefault="00B93705" w:rsidP="00B93705">
      <w:pPr>
        <w:jc w:val="both"/>
        <w:rPr>
          <w:rFonts w:ascii="Arial" w:eastAsiaTheme="minorHAnsi" w:hAnsi="Arial" w:cs="Arial"/>
          <w:b w:val="0"/>
          <w:i/>
          <w:iCs/>
        </w:rPr>
      </w:pPr>
      <w:r w:rsidRPr="00B93705">
        <w:rPr>
          <w:rFonts w:ascii="Arial" w:eastAsiaTheme="minorHAnsi" w:hAnsi="Arial" w:cs="Arial"/>
          <w:b w:val="0"/>
          <w:i/>
          <w:iCs/>
        </w:rPr>
        <w:t xml:space="preserve"> El aislamiento o zona de protección entre los proyectos y los cauces secundarios debe ser superior en todos los casos a la mayor de las siguientes distancias.</w:t>
      </w:r>
    </w:p>
    <w:p w14:paraId="0B90A251" w14:textId="77777777" w:rsidR="00B93705" w:rsidRPr="00B93705" w:rsidRDefault="00B93705" w:rsidP="00B93705">
      <w:pPr>
        <w:jc w:val="both"/>
        <w:rPr>
          <w:rFonts w:ascii="Arial" w:eastAsiaTheme="minorHAnsi" w:hAnsi="Arial" w:cs="Arial"/>
          <w:b w:val="0"/>
          <w:i/>
          <w:iCs/>
        </w:rPr>
      </w:pPr>
    </w:p>
    <w:p w14:paraId="46AFB94B" w14:textId="77777777" w:rsidR="00B93705" w:rsidRPr="00B93705" w:rsidRDefault="00B93705" w:rsidP="00B93705">
      <w:pPr>
        <w:numPr>
          <w:ilvl w:val="0"/>
          <w:numId w:val="9"/>
        </w:numPr>
        <w:jc w:val="both"/>
        <w:rPr>
          <w:rFonts w:ascii="Arial" w:eastAsiaTheme="minorHAnsi" w:hAnsi="Arial" w:cs="Arial"/>
          <w:b w:val="0"/>
          <w:i/>
          <w:iCs/>
        </w:rPr>
      </w:pPr>
      <w:r w:rsidRPr="00B93705">
        <w:rPr>
          <w:rFonts w:ascii="Arial" w:eastAsiaTheme="minorHAnsi" w:hAnsi="Arial" w:cs="Arial"/>
          <w:b w:val="0"/>
          <w:i/>
          <w:iCs/>
        </w:rPr>
        <w:t>A más de 15 metros de la corona del talud actual general del cauce. Este aislamiento debe mantenerse independientemente de que se construya diques u obras para el control de erosión o de inundación.</w:t>
      </w:r>
    </w:p>
    <w:p w14:paraId="5E64511B" w14:textId="77777777" w:rsidR="00B93705" w:rsidRPr="00B93705" w:rsidRDefault="00B93705" w:rsidP="00B93705">
      <w:pPr>
        <w:numPr>
          <w:ilvl w:val="0"/>
          <w:numId w:val="9"/>
        </w:numPr>
        <w:jc w:val="both"/>
        <w:rPr>
          <w:rFonts w:ascii="Arial" w:eastAsiaTheme="minorHAnsi" w:hAnsi="Arial" w:cs="Arial"/>
          <w:b w:val="0"/>
          <w:i/>
          <w:iCs/>
        </w:rPr>
      </w:pPr>
      <w:r w:rsidRPr="00B93705">
        <w:rPr>
          <w:rFonts w:ascii="Arial" w:eastAsiaTheme="minorHAnsi" w:hAnsi="Arial" w:cs="Arial"/>
          <w:b w:val="0"/>
          <w:i/>
          <w:iCs/>
        </w:rPr>
        <w:t>A más de 10 metros de la línea de avance proyectada de la erosión del río para un período de 100 años.</w:t>
      </w:r>
    </w:p>
    <w:p w14:paraId="49885100" w14:textId="77777777" w:rsidR="00B93705" w:rsidRPr="00B93705" w:rsidRDefault="00B93705" w:rsidP="00B93705">
      <w:pPr>
        <w:jc w:val="both"/>
        <w:rPr>
          <w:rFonts w:ascii="Arial" w:eastAsiaTheme="minorHAnsi" w:hAnsi="Arial" w:cs="Arial"/>
          <w:b w:val="0"/>
          <w:i/>
          <w:iCs/>
        </w:rPr>
      </w:pPr>
      <w:r w:rsidRPr="00B93705">
        <w:rPr>
          <w:rFonts w:ascii="Arial" w:eastAsiaTheme="minorHAnsi" w:hAnsi="Arial" w:cs="Arial"/>
          <w:b w:val="0"/>
          <w:i/>
          <w:iCs/>
        </w:rPr>
        <w:t>Esta restricción no se tendrá en cuenta si previamente a la construcción del proyecto se construyen las obras mínimas requeridas en las presentes normas para el control de la erosión a lo largo de la totalidad del borde del cauce frente al proyecto.</w:t>
      </w:r>
    </w:p>
    <w:p w14:paraId="0D983ED3" w14:textId="77777777" w:rsidR="00B93705" w:rsidRPr="00B93705" w:rsidRDefault="00B93705" w:rsidP="00B93705">
      <w:pPr>
        <w:numPr>
          <w:ilvl w:val="0"/>
          <w:numId w:val="9"/>
        </w:numPr>
        <w:jc w:val="both"/>
        <w:rPr>
          <w:rFonts w:ascii="Arial" w:eastAsiaTheme="minorHAnsi" w:hAnsi="Arial" w:cs="Arial"/>
          <w:b w:val="0"/>
          <w:i/>
          <w:iCs/>
        </w:rPr>
      </w:pPr>
      <w:r w:rsidRPr="00B93705">
        <w:rPr>
          <w:rFonts w:ascii="Arial" w:eastAsiaTheme="minorHAnsi" w:hAnsi="Arial" w:cs="Arial"/>
          <w:b w:val="0"/>
          <w:i/>
          <w:iCs/>
        </w:rPr>
        <w:t>A más de 10 metros de la línea correspondiente a la cota de inundación de la creciente básica (100 años).</w:t>
      </w:r>
    </w:p>
    <w:p w14:paraId="24AEE59E" w14:textId="77777777" w:rsidR="00B93705" w:rsidRPr="00B93705" w:rsidRDefault="00B93705" w:rsidP="00B93705">
      <w:pPr>
        <w:numPr>
          <w:ilvl w:val="0"/>
          <w:numId w:val="9"/>
        </w:numPr>
        <w:jc w:val="both"/>
        <w:rPr>
          <w:rFonts w:ascii="Arial" w:eastAsiaTheme="minorHAnsi" w:hAnsi="Arial" w:cs="Arial"/>
          <w:b w:val="0"/>
          <w:i/>
          <w:iCs/>
        </w:rPr>
      </w:pPr>
      <w:r w:rsidRPr="00B93705">
        <w:rPr>
          <w:rFonts w:ascii="Arial" w:eastAsiaTheme="minorHAnsi" w:hAnsi="Arial" w:cs="Arial"/>
          <w:b w:val="0"/>
          <w:i/>
          <w:iCs/>
        </w:rPr>
        <w:t xml:space="preserve">Para los proyectos de potencial riesgo A y B, el proyecto debe localizarse por arriba de una cota mínima correspondiente a la cota de inundación de la creciente básica (100 años) más un 20% </w:t>
      </w:r>
      <w:r w:rsidRPr="00B93705">
        <w:rPr>
          <w:rFonts w:ascii="Arial" w:eastAsiaTheme="minorHAnsi" w:hAnsi="Arial" w:cs="Arial"/>
          <w:b w:val="0"/>
          <w:i/>
          <w:iCs/>
        </w:rPr>
        <w:lastRenderedPageBreak/>
        <w:t>de la altura hidráulica del cauce. El análisis hidráulico debe contemplar sobre-elevaciones de la lámina de agua por curvatura.”</w:t>
      </w:r>
      <w:r w:rsidRPr="00B93705">
        <w:rPr>
          <w:rFonts w:ascii="Arial" w:eastAsiaTheme="minorHAnsi" w:hAnsi="Arial" w:cs="Arial"/>
          <w:b w:val="0"/>
          <w:i/>
          <w:iCs/>
          <w:vertAlign w:val="superscript"/>
        </w:rPr>
        <w:footnoteReference w:id="1"/>
      </w:r>
    </w:p>
    <w:p w14:paraId="64ABA461" w14:textId="77777777" w:rsidR="00B93705" w:rsidRPr="00B93705" w:rsidRDefault="00B93705" w:rsidP="00B93705">
      <w:pPr>
        <w:jc w:val="both"/>
        <w:rPr>
          <w:rFonts w:ascii="Arial" w:eastAsiaTheme="minorHAnsi" w:hAnsi="Arial" w:cs="Arial"/>
          <w:b w:val="0"/>
        </w:rPr>
      </w:pPr>
    </w:p>
    <w:p w14:paraId="27CE101B" w14:textId="77777777" w:rsidR="00B93705" w:rsidRPr="00B93705" w:rsidRDefault="00B93705" w:rsidP="00B93705">
      <w:pPr>
        <w:jc w:val="both"/>
        <w:rPr>
          <w:rFonts w:ascii="Arial" w:eastAsiaTheme="minorHAnsi" w:hAnsi="Arial" w:cs="Arial"/>
          <w:b w:val="0"/>
        </w:rPr>
      </w:pPr>
      <w:r w:rsidRPr="00B93705">
        <w:rPr>
          <w:rFonts w:ascii="Arial" w:eastAsiaTheme="minorHAnsi" w:hAnsi="Arial" w:cs="Arial"/>
          <w:b w:val="0"/>
        </w:rPr>
        <w:t>Para las áreas sin afectación de los predios, en los Planes de Ordenamiento Territorial o en los instrumentos de planificación que lo desarrollen, se deben de definir para los suelos urbanos, de expansión urbana y rurales, las normas que se orientan al tratamiento urbanístico, estableciendo sus particularidades en cuanto a localización, usos principales, compatibles, complementarios, restringidos y prohibidos y las densidades, índice básicos de edificabilidad y demás contenidos técnicos de planificación y gestión que permitan su aplicación real.</w:t>
      </w:r>
    </w:p>
    <w:p w14:paraId="274CA0BF" w14:textId="77777777" w:rsidR="00B93705" w:rsidRPr="00B93705" w:rsidRDefault="00B93705" w:rsidP="00B93705">
      <w:pPr>
        <w:jc w:val="both"/>
        <w:rPr>
          <w:rFonts w:ascii="Arial" w:eastAsiaTheme="minorHAnsi" w:hAnsi="Arial" w:cs="Arial"/>
          <w:b w:val="0"/>
        </w:rPr>
      </w:pPr>
    </w:p>
    <w:p w14:paraId="41BF770F" w14:textId="77777777" w:rsidR="00B93705" w:rsidRPr="00B93705" w:rsidRDefault="00B93705" w:rsidP="00B93705">
      <w:pPr>
        <w:jc w:val="both"/>
        <w:rPr>
          <w:rFonts w:ascii="Arial" w:eastAsiaTheme="minorHAnsi" w:hAnsi="Arial" w:cs="Arial"/>
          <w:b w:val="0"/>
          <w:lang w:val="es-ES"/>
        </w:rPr>
      </w:pPr>
      <w:r w:rsidRPr="00B93705">
        <w:rPr>
          <w:rFonts w:ascii="Arial" w:eastAsiaTheme="minorHAnsi" w:hAnsi="Arial" w:cs="Arial"/>
          <w:b w:val="0"/>
        </w:rPr>
        <w:t>Adicionalmente se debe tener en cuenta lo señalado en el artículo 2.2.1.1.18.2 del Decreto Nacional 1076 de 2015 único reglamentario del sector Ambiente y Desarrollo Sostenible, el cual establece:</w:t>
      </w:r>
    </w:p>
    <w:p w14:paraId="694752B6" w14:textId="77777777" w:rsidR="00B93705" w:rsidRPr="00B93705" w:rsidRDefault="00B93705" w:rsidP="00B93705">
      <w:pPr>
        <w:jc w:val="both"/>
        <w:rPr>
          <w:rFonts w:ascii="Arial" w:eastAsiaTheme="minorHAnsi" w:hAnsi="Arial" w:cs="Arial"/>
          <w:i/>
          <w:iCs/>
        </w:rPr>
      </w:pPr>
    </w:p>
    <w:p w14:paraId="703D0F45" w14:textId="77777777" w:rsidR="00B93705" w:rsidRPr="00B93705" w:rsidRDefault="00B93705" w:rsidP="00B93705">
      <w:pPr>
        <w:jc w:val="both"/>
        <w:rPr>
          <w:rFonts w:ascii="Arial" w:eastAsiaTheme="minorHAnsi" w:hAnsi="Arial" w:cs="Arial"/>
          <w:b w:val="0"/>
          <w:lang w:val="es-ES"/>
        </w:rPr>
      </w:pPr>
      <w:r w:rsidRPr="00B93705">
        <w:rPr>
          <w:rFonts w:ascii="Arial" w:eastAsiaTheme="minorHAnsi" w:hAnsi="Arial" w:cs="Arial"/>
          <w:b w:val="0"/>
          <w:i/>
          <w:iCs/>
        </w:rPr>
        <w:t xml:space="preserve">“ARTÍCULO 2.2.1.1.18.2. Protección y conservación de los bosques. En relación con la protección y conservación de los bosques, los propietarios de predios están obligados a: </w:t>
      </w:r>
    </w:p>
    <w:p w14:paraId="717FAD45" w14:textId="77777777" w:rsidR="00B93705" w:rsidRPr="00B93705" w:rsidRDefault="00B93705" w:rsidP="00B93705">
      <w:pPr>
        <w:jc w:val="both"/>
        <w:rPr>
          <w:rFonts w:ascii="Arial" w:eastAsiaTheme="minorHAnsi" w:hAnsi="Arial" w:cs="Arial"/>
          <w:b w:val="0"/>
        </w:rPr>
      </w:pPr>
    </w:p>
    <w:p w14:paraId="4A271CC9" w14:textId="77777777" w:rsidR="00B93705" w:rsidRPr="00B93705" w:rsidRDefault="00B93705" w:rsidP="00B93705">
      <w:pPr>
        <w:jc w:val="both"/>
        <w:rPr>
          <w:rFonts w:ascii="Arial" w:eastAsiaTheme="minorHAnsi" w:hAnsi="Arial" w:cs="Arial"/>
          <w:b w:val="0"/>
        </w:rPr>
      </w:pPr>
      <w:r w:rsidRPr="00B93705">
        <w:rPr>
          <w:rFonts w:ascii="Arial" w:eastAsiaTheme="minorHAnsi" w:hAnsi="Arial" w:cs="Arial"/>
          <w:b w:val="0"/>
          <w:i/>
          <w:iCs/>
        </w:rPr>
        <w:t xml:space="preserve">1. Mantener en cobertura boscosa dentro del predio las áreas forestales protectoras. Se entiende por áreas forestales protectoras: </w:t>
      </w:r>
    </w:p>
    <w:p w14:paraId="59883A70" w14:textId="77777777" w:rsidR="00B93705" w:rsidRPr="00B93705" w:rsidRDefault="00B93705" w:rsidP="00B93705">
      <w:pPr>
        <w:jc w:val="both"/>
        <w:rPr>
          <w:rFonts w:ascii="Arial" w:eastAsiaTheme="minorHAnsi" w:hAnsi="Arial" w:cs="Arial"/>
          <w:b w:val="0"/>
          <w:i/>
          <w:iCs/>
        </w:rPr>
      </w:pPr>
    </w:p>
    <w:p w14:paraId="5A36B859" w14:textId="77777777" w:rsidR="00B93705" w:rsidRPr="00B93705" w:rsidRDefault="00B93705" w:rsidP="00B93705">
      <w:pPr>
        <w:jc w:val="both"/>
        <w:rPr>
          <w:rFonts w:ascii="Arial" w:eastAsiaTheme="minorHAnsi" w:hAnsi="Arial" w:cs="Arial"/>
          <w:b w:val="0"/>
        </w:rPr>
      </w:pPr>
      <w:r w:rsidRPr="00B93705">
        <w:rPr>
          <w:rFonts w:ascii="Arial" w:eastAsiaTheme="minorHAnsi" w:hAnsi="Arial" w:cs="Arial"/>
          <w:b w:val="0"/>
          <w:i/>
          <w:iCs/>
        </w:rPr>
        <w:t xml:space="preserve">a) Los nacimientos de fuentes de aguas en una extensión por lo menos de 100 metros a la redonda, medidos a partir de su periferia. </w:t>
      </w:r>
    </w:p>
    <w:p w14:paraId="004B0A20" w14:textId="77777777" w:rsidR="00B93705" w:rsidRPr="00B93705" w:rsidRDefault="00B93705" w:rsidP="00B93705">
      <w:pPr>
        <w:jc w:val="both"/>
        <w:rPr>
          <w:rFonts w:ascii="Arial" w:eastAsiaTheme="minorHAnsi" w:hAnsi="Arial" w:cs="Arial"/>
          <w:b w:val="0"/>
          <w:u w:val="single"/>
        </w:rPr>
      </w:pPr>
      <w:r w:rsidRPr="00B93705">
        <w:rPr>
          <w:rFonts w:ascii="Arial" w:eastAsiaTheme="minorHAnsi" w:hAnsi="Arial" w:cs="Arial"/>
          <w:bCs/>
          <w:i/>
          <w:iCs/>
          <w:u w:val="single"/>
        </w:rPr>
        <w:t xml:space="preserve">b) Una faja no inferior a 30 metros de ancha, paralela a las líneas de mareas máximas, a cada lado de los cauces de los ríos, quebradas y arroyos, sean permanentes o no, y alrededor de los lagos o depósitos de agua; </w:t>
      </w:r>
    </w:p>
    <w:p w14:paraId="59D00E4B" w14:textId="77777777" w:rsidR="00B93705" w:rsidRPr="00B93705" w:rsidRDefault="00B93705" w:rsidP="00B93705">
      <w:pPr>
        <w:jc w:val="both"/>
        <w:rPr>
          <w:rFonts w:ascii="Arial" w:eastAsiaTheme="minorHAnsi" w:hAnsi="Arial" w:cs="Arial"/>
          <w:b w:val="0"/>
          <w:i/>
          <w:iCs/>
        </w:rPr>
      </w:pPr>
      <w:r w:rsidRPr="00B93705">
        <w:rPr>
          <w:rFonts w:ascii="Arial" w:eastAsiaTheme="minorHAnsi" w:hAnsi="Arial" w:cs="Arial"/>
          <w:b w:val="0"/>
          <w:i/>
          <w:iCs/>
        </w:rPr>
        <w:t>c) Los terrenos con pendientes superiores al 100% (45). (….)</w:t>
      </w:r>
    </w:p>
    <w:p w14:paraId="1DC13495" w14:textId="77777777" w:rsidR="00B93705" w:rsidRPr="00B93705" w:rsidRDefault="00B93705" w:rsidP="00B93705">
      <w:pPr>
        <w:jc w:val="both"/>
        <w:rPr>
          <w:rFonts w:ascii="Arial" w:eastAsiaTheme="minorHAnsi" w:hAnsi="Arial" w:cs="Arial"/>
          <w:b w:val="0"/>
          <w:lang w:val="es-ES"/>
        </w:rPr>
      </w:pPr>
      <w:r w:rsidRPr="00B93705">
        <w:rPr>
          <w:rFonts w:ascii="Arial" w:eastAsiaTheme="minorHAnsi" w:hAnsi="Arial" w:cs="Arial"/>
          <w:bCs/>
          <w:i/>
          <w:iCs/>
          <w:u w:val="single"/>
        </w:rPr>
        <w:t>(Subrayado y negrilla fuera de texto)</w:t>
      </w:r>
    </w:p>
    <w:p w14:paraId="77DD7561" w14:textId="77777777" w:rsidR="00B93705" w:rsidRPr="00B93705" w:rsidRDefault="00B93705" w:rsidP="00B93705">
      <w:pPr>
        <w:jc w:val="both"/>
        <w:rPr>
          <w:rFonts w:ascii="Arial" w:eastAsiaTheme="minorHAnsi" w:hAnsi="Arial" w:cs="Arial"/>
          <w:b w:val="0"/>
          <w:lang w:val="es-ES"/>
        </w:rPr>
      </w:pPr>
    </w:p>
    <w:p w14:paraId="05ED0C51" w14:textId="77777777" w:rsidR="00B93705" w:rsidRPr="00B93705" w:rsidRDefault="00B93705" w:rsidP="00B93705">
      <w:pPr>
        <w:jc w:val="both"/>
        <w:rPr>
          <w:rFonts w:ascii="Arial" w:eastAsiaTheme="minorHAnsi" w:hAnsi="Arial" w:cs="Arial"/>
          <w:b w:val="0"/>
          <w:iCs/>
        </w:rPr>
      </w:pPr>
      <w:r w:rsidRPr="00B93705">
        <w:rPr>
          <w:rFonts w:ascii="Arial" w:eastAsiaTheme="minorHAnsi" w:hAnsi="Arial" w:cs="Arial"/>
          <w:b w:val="0"/>
          <w:iCs/>
        </w:rPr>
        <w:t xml:space="preserve">En este sentido, la </w:t>
      </w:r>
      <w:r w:rsidRPr="00B93705">
        <w:rPr>
          <w:rFonts w:ascii="Arial" w:eastAsiaTheme="minorHAnsi" w:hAnsi="Arial" w:cs="Arial"/>
          <w:bCs/>
          <w:iCs/>
        </w:rPr>
        <w:t>Resolución CDMB Nº 1688 de 2019</w:t>
      </w:r>
      <w:r w:rsidRPr="00B93705">
        <w:rPr>
          <w:rFonts w:ascii="Arial" w:eastAsiaTheme="minorHAnsi" w:hAnsi="Arial" w:cs="Arial"/>
          <w:b w:val="0"/>
          <w:iCs/>
        </w:rPr>
        <w:t xml:space="preserve">, que actualiza las determinantes ambientales para la formulación y adopción de los planes de ordenamiento territorial en los municipios bajo jurisdicción de la CDMB, establece en su ítem </w:t>
      </w:r>
      <w:r w:rsidRPr="00B93705">
        <w:rPr>
          <w:rFonts w:ascii="Arial" w:eastAsiaTheme="minorHAnsi" w:hAnsi="Arial" w:cs="Arial"/>
          <w:bCs/>
          <w:iCs/>
        </w:rPr>
        <w:t>5.3.3 sobre Rondas Hídricas</w:t>
      </w:r>
      <w:r w:rsidRPr="00B93705">
        <w:rPr>
          <w:rFonts w:ascii="Arial" w:eastAsiaTheme="minorHAnsi" w:hAnsi="Arial" w:cs="Arial"/>
          <w:b w:val="0"/>
          <w:iCs/>
        </w:rPr>
        <w:t xml:space="preserve"> que, “</w:t>
      </w:r>
      <w:r w:rsidRPr="00B93705">
        <w:rPr>
          <w:rFonts w:ascii="Arial" w:eastAsiaTheme="minorHAnsi" w:hAnsi="Arial" w:cs="Arial"/>
          <w:b w:val="0"/>
          <w:i/>
          <w:iCs/>
        </w:rPr>
        <w:t xml:space="preserve">Salvo derechos adquiridos por particulares, son bienes inalienables e imprescriptibles del Estado una faja paralela a la línea de mareas máximas o a la del cauce permanente de ríos y lagos, hasta de </w:t>
      </w:r>
      <w:r w:rsidRPr="00B93705">
        <w:rPr>
          <w:rFonts w:ascii="Arial" w:eastAsiaTheme="minorHAnsi" w:hAnsi="Arial" w:cs="Arial"/>
          <w:bCs/>
          <w:i/>
          <w:iCs/>
        </w:rPr>
        <w:t>30 metros de ancho</w:t>
      </w:r>
      <w:r w:rsidRPr="00B93705">
        <w:rPr>
          <w:rFonts w:ascii="Arial" w:eastAsiaTheme="minorHAnsi" w:hAnsi="Arial" w:cs="Arial"/>
          <w:b w:val="0"/>
          <w:i/>
          <w:iCs/>
        </w:rPr>
        <w:t xml:space="preserve"> (Art. 83 Literal d) Decreto 2811 de 1974</w:t>
      </w:r>
      <w:r w:rsidRPr="00B93705">
        <w:rPr>
          <w:rFonts w:ascii="Arial" w:eastAsiaTheme="minorHAnsi" w:hAnsi="Arial" w:cs="Arial"/>
          <w:b w:val="0"/>
          <w:iCs/>
        </w:rPr>
        <w:t xml:space="preserve">”. A su vez, debe considerarse lo previsto en el </w:t>
      </w:r>
      <w:r w:rsidRPr="00B93705">
        <w:rPr>
          <w:rFonts w:ascii="Arial" w:eastAsiaTheme="minorHAnsi" w:hAnsi="Arial" w:cs="Arial"/>
          <w:bCs/>
          <w:iCs/>
        </w:rPr>
        <w:t>artículo 2.2.1.1.18.2 del Decreto 1076 de 2015</w:t>
      </w:r>
      <w:r w:rsidRPr="00B93705">
        <w:rPr>
          <w:rFonts w:ascii="Arial" w:eastAsiaTheme="minorHAnsi" w:hAnsi="Arial" w:cs="Arial"/>
          <w:b w:val="0"/>
          <w:iCs/>
        </w:rPr>
        <w:t xml:space="preserve">, en lo relacionado con las zonas de protección ambiental y su papel en la conservación del recurso hídrico. Adicionalmente, deben atenderse los aislamientos específicos definidos en el </w:t>
      </w:r>
      <w:r w:rsidRPr="00B93705">
        <w:rPr>
          <w:rFonts w:ascii="Arial" w:eastAsiaTheme="minorHAnsi" w:hAnsi="Arial" w:cs="Arial"/>
          <w:bCs/>
          <w:iCs/>
        </w:rPr>
        <w:t>Plan de Ordenamiento Territorial (POT)</w:t>
      </w:r>
      <w:r w:rsidRPr="00B93705">
        <w:rPr>
          <w:rFonts w:ascii="Arial" w:eastAsiaTheme="minorHAnsi" w:hAnsi="Arial" w:cs="Arial"/>
          <w:b w:val="0"/>
          <w:iCs/>
        </w:rPr>
        <w:t xml:space="preserve"> del municipio para el sector en análisis.</w:t>
      </w:r>
    </w:p>
    <w:p w14:paraId="71FE3F7D" w14:textId="77777777" w:rsidR="00B93705" w:rsidRPr="00B93705" w:rsidRDefault="00B93705" w:rsidP="00B93705">
      <w:pPr>
        <w:jc w:val="both"/>
        <w:rPr>
          <w:rFonts w:ascii="Arial" w:eastAsiaTheme="minorHAnsi" w:hAnsi="Arial" w:cs="Arial"/>
          <w:b w:val="0"/>
          <w:iCs/>
        </w:rPr>
      </w:pPr>
    </w:p>
    <w:p w14:paraId="41D683DD" w14:textId="77777777" w:rsidR="00B93705" w:rsidRPr="00B93705" w:rsidRDefault="00B93705" w:rsidP="00B93705">
      <w:pPr>
        <w:jc w:val="both"/>
        <w:rPr>
          <w:rFonts w:ascii="Arial" w:eastAsiaTheme="minorHAnsi" w:hAnsi="Arial" w:cs="Arial"/>
          <w:b w:val="0"/>
          <w:iCs/>
        </w:rPr>
      </w:pPr>
      <w:r w:rsidRPr="00B93705">
        <w:rPr>
          <w:rFonts w:ascii="Arial" w:eastAsiaTheme="minorHAnsi" w:hAnsi="Arial" w:cs="Arial"/>
          <w:b w:val="0"/>
          <w:iCs/>
        </w:rPr>
        <w:t xml:space="preserve">De igual forma, el ítem 7.3 de la misma Resolución 1688 de 2019 que remite al </w:t>
      </w:r>
      <w:r w:rsidRPr="00B93705">
        <w:rPr>
          <w:rFonts w:ascii="Arial" w:eastAsiaTheme="minorHAnsi" w:hAnsi="Arial" w:cs="Arial"/>
          <w:bCs/>
          <w:iCs/>
        </w:rPr>
        <w:t xml:space="preserve">Manual de Normas Técnicas para el Control de la Erosión y la Elaboración de Estudios Geológicos, </w:t>
      </w:r>
      <w:r w:rsidRPr="00B93705">
        <w:rPr>
          <w:rFonts w:ascii="Arial" w:eastAsiaTheme="minorHAnsi" w:hAnsi="Arial" w:cs="Arial"/>
          <w:bCs/>
          <w:iCs/>
        </w:rPr>
        <w:lastRenderedPageBreak/>
        <w:t>Geotécnicos e Hidrológicos</w:t>
      </w:r>
      <w:r w:rsidRPr="00B93705">
        <w:rPr>
          <w:rFonts w:ascii="Arial" w:eastAsiaTheme="minorHAnsi" w:hAnsi="Arial" w:cs="Arial"/>
          <w:b w:val="0"/>
          <w:iCs/>
        </w:rPr>
        <w:t xml:space="preserve">, adoptado mediante la </w:t>
      </w:r>
      <w:r w:rsidRPr="00B93705">
        <w:rPr>
          <w:rFonts w:ascii="Arial" w:eastAsiaTheme="minorHAnsi" w:hAnsi="Arial" w:cs="Arial"/>
          <w:bCs/>
          <w:iCs/>
        </w:rPr>
        <w:t>Resolución CDMB Nº 1294 de 2009</w:t>
      </w:r>
      <w:r w:rsidRPr="00B93705">
        <w:rPr>
          <w:rFonts w:ascii="Arial" w:eastAsiaTheme="minorHAnsi" w:hAnsi="Arial" w:cs="Arial"/>
          <w:b w:val="0"/>
          <w:iCs/>
        </w:rPr>
        <w:t xml:space="preserve">, se establece en los numerales 7.3 y 7.5 del Capítulo VII los </w:t>
      </w:r>
      <w:r w:rsidRPr="00B93705">
        <w:rPr>
          <w:rFonts w:ascii="Arial" w:eastAsiaTheme="minorHAnsi" w:hAnsi="Arial" w:cs="Arial"/>
          <w:bCs/>
          <w:iCs/>
        </w:rPr>
        <w:t>aislamientos mínimos obligatorios</w:t>
      </w:r>
      <w:r w:rsidRPr="00B93705">
        <w:rPr>
          <w:rFonts w:ascii="Arial" w:eastAsiaTheme="minorHAnsi" w:hAnsi="Arial" w:cs="Arial"/>
          <w:b w:val="0"/>
          <w:iCs/>
        </w:rPr>
        <w:t xml:space="preserve"> frente a cauces principales y secundarios. Este documento señala que deberá conservarse, en todos los casos, la mayor de las distancias resultantes de la comparación entre los diferentes marcos normativos aplicables.</w:t>
      </w:r>
    </w:p>
    <w:p w14:paraId="5D8D8D06" w14:textId="77777777" w:rsidR="00B93705" w:rsidRPr="00B93705" w:rsidRDefault="00B93705" w:rsidP="00B93705">
      <w:pPr>
        <w:jc w:val="both"/>
        <w:rPr>
          <w:rFonts w:ascii="Arial" w:eastAsiaTheme="minorHAnsi" w:hAnsi="Arial" w:cs="Arial"/>
          <w:b w:val="0"/>
          <w:iCs/>
        </w:rPr>
      </w:pPr>
    </w:p>
    <w:p w14:paraId="1A6813EC" w14:textId="77777777" w:rsidR="00B93705" w:rsidRPr="00B93705" w:rsidRDefault="00B93705" w:rsidP="00B93705">
      <w:pPr>
        <w:jc w:val="both"/>
        <w:rPr>
          <w:rFonts w:ascii="Arial" w:eastAsiaTheme="minorHAnsi" w:hAnsi="Arial" w:cs="Arial"/>
          <w:b w:val="0"/>
          <w:iCs/>
        </w:rPr>
      </w:pPr>
      <w:r w:rsidRPr="00B93705">
        <w:rPr>
          <w:rFonts w:ascii="Arial" w:eastAsiaTheme="minorHAnsi" w:hAnsi="Arial" w:cs="Arial"/>
          <w:b w:val="0"/>
          <w:iCs/>
        </w:rPr>
        <w:t xml:space="preserve">En consecuencia, el aislamiento o zona de protección entre los proyectos y los cauces deberá corresponder a la </w:t>
      </w:r>
      <w:r w:rsidRPr="00B93705">
        <w:rPr>
          <w:rFonts w:ascii="Arial" w:eastAsiaTheme="minorHAnsi" w:hAnsi="Arial" w:cs="Arial"/>
          <w:bCs/>
          <w:iCs/>
        </w:rPr>
        <w:t>mayor distancia exigida</w:t>
      </w:r>
      <w:r w:rsidRPr="00B93705">
        <w:rPr>
          <w:rFonts w:ascii="Arial" w:eastAsiaTheme="minorHAnsi" w:hAnsi="Arial" w:cs="Arial"/>
          <w:b w:val="0"/>
          <w:iCs/>
        </w:rPr>
        <w:t xml:space="preserve"> por las disposiciones citadas (Resolución CDMB Nº 1294 de 2009, resolución CDMB Nº 1688 de 2019, EOT, PBOT y/o POT). Cabe resaltar que esta obligación también aplica para </w:t>
      </w:r>
      <w:r w:rsidRPr="00B93705">
        <w:rPr>
          <w:rFonts w:ascii="Arial" w:eastAsiaTheme="minorHAnsi" w:hAnsi="Arial" w:cs="Arial"/>
          <w:bCs/>
          <w:iCs/>
        </w:rPr>
        <w:t>fuentes hídricas o líneas de drenaje</w:t>
      </w:r>
      <w:r w:rsidRPr="00B93705">
        <w:rPr>
          <w:rFonts w:ascii="Arial" w:eastAsiaTheme="minorHAnsi" w:hAnsi="Arial" w:cs="Arial"/>
          <w:b w:val="0"/>
          <w:iCs/>
        </w:rPr>
        <w:t xml:space="preserve"> que, si bien no se encuentren codificadas en los sistemas de información geográfica institucionales, estén presentes en el área evaluada, ya sea mediante validación cartográfica o verificación en campo.</w:t>
      </w:r>
    </w:p>
    <w:p w14:paraId="25D0F810" w14:textId="77777777" w:rsidR="00B93705" w:rsidRPr="00B93705" w:rsidRDefault="00B93705" w:rsidP="00B93705">
      <w:pPr>
        <w:jc w:val="both"/>
        <w:rPr>
          <w:rFonts w:ascii="Arial" w:eastAsiaTheme="minorHAnsi" w:hAnsi="Arial" w:cs="Arial"/>
          <w:b w:val="0"/>
          <w:iCs/>
        </w:rPr>
      </w:pPr>
    </w:p>
    <w:p w14:paraId="5CC9418C" w14:textId="77777777" w:rsidR="00B93705" w:rsidRPr="00B93705" w:rsidRDefault="00B93705" w:rsidP="00B93705">
      <w:pPr>
        <w:jc w:val="both"/>
        <w:rPr>
          <w:rFonts w:ascii="Arial" w:eastAsiaTheme="minorHAnsi" w:hAnsi="Arial" w:cs="Arial"/>
          <w:b w:val="0"/>
          <w:iCs/>
        </w:rPr>
      </w:pPr>
      <w:r w:rsidRPr="00B93705">
        <w:rPr>
          <w:rFonts w:ascii="Arial" w:eastAsiaTheme="minorHAnsi" w:hAnsi="Arial" w:cs="Arial"/>
          <w:b w:val="0"/>
          <w:iCs/>
        </w:rPr>
        <w:t>No obstante la información anterior a nivel de zonificación, a efectos de intervenciones a realizar en el área objeto de análisis, se solicita tener en cuenta los Usos del Suelo establecidos en el Plan de Ordenamiento Territorial del Municipio y gestionar previamente los permisos o autorizaciones a que dé lugar un potencial Proyecto, Obra o Actividad, ante las respectivas autoridades competentes, en cumplimiento de la normatividad vigente, lo anterior sin perjuicio de la demás normatividad aplicable, así mismo para la categoría descrita en el POMCA como áreas Urbanas, Municipales y Distritales, primará lo dispuesto en EOT, PBOT o POT, del respectivo Municipio, teniendo en cuenta la fuente de información primaria con la que se formula el POMCA y sus escalas de trabajo.</w:t>
      </w:r>
    </w:p>
    <w:p w14:paraId="2FE4797E" w14:textId="77777777" w:rsidR="00B93705" w:rsidRDefault="00B93705" w:rsidP="00B93705">
      <w:pPr>
        <w:jc w:val="both"/>
        <w:rPr>
          <w:rFonts w:ascii="Arial" w:eastAsiaTheme="minorHAnsi" w:hAnsi="Arial" w:cs="Arial"/>
          <w:b w:val="0"/>
          <w:iCs/>
        </w:rPr>
      </w:pPr>
    </w:p>
    <w:p w14:paraId="2488EB2C" w14:textId="68241906" w:rsidR="00807535" w:rsidRPr="00807535" w:rsidRDefault="00807535" w:rsidP="00807535">
      <w:pPr>
        <w:jc w:val="both"/>
        <w:rPr>
          <w:rFonts w:ascii="Arial" w:eastAsiaTheme="minorHAnsi" w:hAnsi="Arial" w:cs="Arial"/>
          <w:b w:val="0"/>
          <w:iCs/>
        </w:rPr>
      </w:pPr>
      <w:r w:rsidRPr="00807535">
        <w:rPr>
          <w:rFonts w:ascii="Arial" w:eastAsiaTheme="minorHAnsi" w:hAnsi="Arial" w:cs="Arial"/>
          <w:b w:val="0"/>
          <w:iCs/>
        </w:rPr>
        <w:t>De otro lado es importante resaltar que mediante Sentencia T-529 de 2025 la Corte</w:t>
      </w:r>
      <w:r>
        <w:rPr>
          <w:rFonts w:ascii="Arial" w:eastAsiaTheme="minorHAnsi" w:hAnsi="Arial" w:cs="Arial"/>
          <w:b w:val="0"/>
          <w:iCs/>
        </w:rPr>
        <w:t xml:space="preserve"> </w:t>
      </w:r>
      <w:r w:rsidRPr="00807535">
        <w:rPr>
          <w:rFonts w:ascii="Arial" w:eastAsiaTheme="minorHAnsi" w:hAnsi="Arial" w:cs="Arial"/>
          <w:b w:val="0"/>
          <w:iCs/>
        </w:rPr>
        <w:t>Constitucional señaló “(…) la ronda hídrica y el área forestal protectora, aunque con regímenes y</w:t>
      </w:r>
      <w:r>
        <w:rPr>
          <w:rFonts w:ascii="Arial" w:eastAsiaTheme="minorHAnsi" w:hAnsi="Arial" w:cs="Arial"/>
          <w:b w:val="0"/>
          <w:iCs/>
        </w:rPr>
        <w:t xml:space="preserve"> </w:t>
      </w:r>
      <w:r w:rsidRPr="00807535">
        <w:rPr>
          <w:rFonts w:ascii="Arial" w:eastAsiaTheme="minorHAnsi" w:hAnsi="Arial" w:cs="Arial"/>
          <w:b w:val="0"/>
          <w:iCs/>
        </w:rPr>
        <w:t>alcances distintos, convergen como determinantes ambientales complementarios en la planeación</w:t>
      </w:r>
      <w:r>
        <w:rPr>
          <w:rFonts w:ascii="Arial" w:eastAsiaTheme="minorHAnsi" w:hAnsi="Arial" w:cs="Arial"/>
          <w:b w:val="0"/>
          <w:iCs/>
        </w:rPr>
        <w:t xml:space="preserve"> </w:t>
      </w:r>
      <w:r w:rsidRPr="00807535">
        <w:rPr>
          <w:rFonts w:ascii="Arial" w:eastAsiaTheme="minorHAnsi" w:hAnsi="Arial" w:cs="Arial"/>
          <w:b w:val="0"/>
          <w:iCs/>
        </w:rPr>
        <w:t>territorial. Bajo este orden de ideas, los instrumentos de planeación deben integrar ambas figuras</w:t>
      </w:r>
      <w:r>
        <w:rPr>
          <w:rFonts w:ascii="Arial" w:eastAsiaTheme="minorHAnsi" w:hAnsi="Arial" w:cs="Arial"/>
          <w:b w:val="0"/>
          <w:iCs/>
        </w:rPr>
        <w:t xml:space="preserve"> </w:t>
      </w:r>
      <w:r w:rsidRPr="00807535">
        <w:rPr>
          <w:rFonts w:ascii="Arial" w:eastAsiaTheme="minorHAnsi" w:hAnsi="Arial" w:cs="Arial"/>
          <w:b w:val="0"/>
          <w:iCs/>
        </w:rPr>
        <w:t>conforme a las condiciones ecológicas y urbanísticas del territorio y acatar la delimitación técnica de la</w:t>
      </w:r>
      <w:r>
        <w:rPr>
          <w:rFonts w:ascii="Arial" w:eastAsiaTheme="minorHAnsi" w:hAnsi="Arial" w:cs="Arial"/>
          <w:b w:val="0"/>
          <w:iCs/>
        </w:rPr>
        <w:t xml:space="preserve"> </w:t>
      </w:r>
      <w:r w:rsidRPr="00807535">
        <w:rPr>
          <w:rFonts w:ascii="Arial" w:eastAsiaTheme="minorHAnsi" w:hAnsi="Arial" w:cs="Arial"/>
          <w:b w:val="0"/>
          <w:iCs/>
        </w:rPr>
        <w:t>autoridad ambiental competente. En ausencia de esta, o ante incertidumbre técnica, rige el estándar</w:t>
      </w:r>
      <w:r>
        <w:rPr>
          <w:rFonts w:ascii="Arial" w:eastAsiaTheme="minorHAnsi" w:hAnsi="Arial" w:cs="Arial"/>
          <w:b w:val="0"/>
          <w:iCs/>
        </w:rPr>
        <w:t xml:space="preserve"> </w:t>
      </w:r>
      <w:r w:rsidRPr="00807535">
        <w:rPr>
          <w:rFonts w:ascii="Arial" w:eastAsiaTheme="minorHAnsi" w:hAnsi="Arial" w:cs="Arial"/>
          <w:b w:val="0"/>
          <w:iCs/>
        </w:rPr>
        <w:t>mínimo de treinta (30) metros, por ser la solución que garantiza en mayor medida la protección del medio</w:t>
      </w:r>
      <w:r>
        <w:rPr>
          <w:rFonts w:ascii="Arial" w:eastAsiaTheme="minorHAnsi" w:hAnsi="Arial" w:cs="Arial"/>
          <w:b w:val="0"/>
          <w:iCs/>
        </w:rPr>
        <w:t xml:space="preserve"> </w:t>
      </w:r>
      <w:r w:rsidRPr="00807535">
        <w:rPr>
          <w:rFonts w:ascii="Arial" w:eastAsiaTheme="minorHAnsi" w:hAnsi="Arial" w:cs="Arial"/>
          <w:b w:val="0"/>
          <w:iCs/>
        </w:rPr>
        <w:t>ambiente sano. (…)” “(…) una aplicación coherente y cohesiva de ese mandato constitucional</w:t>
      </w:r>
      <w:r w:rsidR="00C66ABA">
        <w:rPr>
          <w:rFonts w:ascii="Arial" w:eastAsiaTheme="minorHAnsi" w:hAnsi="Arial" w:cs="Arial"/>
          <w:b w:val="0"/>
          <w:iCs/>
        </w:rPr>
        <w:t xml:space="preserve"> </w:t>
      </w:r>
      <w:r w:rsidRPr="00807535">
        <w:rPr>
          <w:rFonts w:ascii="Arial" w:eastAsiaTheme="minorHAnsi" w:hAnsi="Arial" w:cs="Arial"/>
          <w:b w:val="0"/>
          <w:iCs/>
        </w:rPr>
        <w:t>demandaba optar por el estándar de 30 metros como parámetro mínimo de conservación obligatorio. Así</w:t>
      </w:r>
      <w:r w:rsidR="00C66ABA">
        <w:rPr>
          <w:rFonts w:ascii="Arial" w:eastAsiaTheme="minorHAnsi" w:hAnsi="Arial" w:cs="Arial"/>
          <w:b w:val="0"/>
          <w:iCs/>
        </w:rPr>
        <w:t xml:space="preserve"> </w:t>
      </w:r>
      <w:r w:rsidRPr="00807535">
        <w:rPr>
          <w:rFonts w:ascii="Arial" w:eastAsiaTheme="minorHAnsi" w:hAnsi="Arial" w:cs="Arial"/>
          <w:b w:val="0"/>
          <w:iCs/>
        </w:rPr>
        <w:t>lo imponía la interpretación sistemática y constitucional de los artículos 83.d del Decreto Ley 2811 de</w:t>
      </w:r>
      <w:r w:rsidR="00C66ABA">
        <w:rPr>
          <w:rFonts w:ascii="Arial" w:eastAsiaTheme="minorHAnsi" w:hAnsi="Arial" w:cs="Arial"/>
          <w:b w:val="0"/>
          <w:iCs/>
        </w:rPr>
        <w:t xml:space="preserve"> </w:t>
      </w:r>
      <w:r w:rsidRPr="00807535">
        <w:rPr>
          <w:rFonts w:ascii="Arial" w:eastAsiaTheme="minorHAnsi" w:hAnsi="Arial" w:cs="Arial"/>
          <w:b w:val="0"/>
          <w:iCs/>
        </w:rPr>
        <w:t>1974 y 3 del Decreto 1449 de 1977, a la luz de los mandatos superiores de protección ambiental. Esto,</w:t>
      </w:r>
      <w:r w:rsidR="00C66ABA">
        <w:rPr>
          <w:rFonts w:ascii="Arial" w:eastAsiaTheme="minorHAnsi" w:hAnsi="Arial" w:cs="Arial"/>
          <w:b w:val="0"/>
          <w:iCs/>
        </w:rPr>
        <w:t xml:space="preserve"> </w:t>
      </w:r>
      <w:r w:rsidRPr="00807535">
        <w:rPr>
          <w:rFonts w:ascii="Arial" w:eastAsiaTheme="minorHAnsi" w:hAnsi="Arial" w:cs="Arial"/>
          <w:b w:val="0"/>
          <w:iCs/>
        </w:rPr>
        <w:t>porque en ausencia de delimitación específica, la regla mínima opera como umbral de cautela para</w:t>
      </w:r>
      <w:r w:rsidR="00C66ABA">
        <w:rPr>
          <w:rFonts w:ascii="Arial" w:eastAsiaTheme="minorHAnsi" w:hAnsi="Arial" w:cs="Arial"/>
          <w:b w:val="0"/>
          <w:iCs/>
        </w:rPr>
        <w:t xml:space="preserve"> </w:t>
      </w:r>
      <w:r w:rsidRPr="00807535">
        <w:rPr>
          <w:rFonts w:ascii="Arial" w:eastAsiaTheme="minorHAnsi" w:hAnsi="Arial" w:cs="Arial"/>
          <w:b w:val="0"/>
          <w:iCs/>
        </w:rPr>
        <w:t>salvaguardar los ecosistemas ribereños y la calidad ambiental, conforme a los principios de rigor</w:t>
      </w:r>
      <w:r w:rsidR="00C66ABA">
        <w:rPr>
          <w:rFonts w:ascii="Arial" w:eastAsiaTheme="minorHAnsi" w:hAnsi="Arial" w:cs="Arial"/>
          <w:b w:val="0"/>
          <w:iCs/>
        </w:rPr>
        <w:t xml:space="preserve"> </w:t>
      </w:r>
      <w:r w:rsidRPr="00807535">
        <w:rPr>
          <w:rFonts w:ascii="Arial" w:eastAsiaTheme="minorHAnsi" w:hAnsi="Arial" w:cs="Arial"/>
          <w:b w:val="0"/>
          <w:iCs/>
        </w:rPr>
        <w:t>subsidiario y precaución cuya aplicación se guía por el criterio superior pro ambiente o pro natura”. La</w:t>
      </w:r>
      <w:r w:rsidR="00C66ABA">
        <w:rPr>
          <w:rFonts w:ascii="Arial" w:eastAsiaTheme="minorHAnsi" w:hAnsi="Arial" w:cs="Arial"/>
          <w:b w:val="0"/>
          <w:iCs/>
        </w:rPr>
        <w:t xml:space="preserve"> </w:t>
      </w:r>
      <w:r w:rsidRPr="00807535">
        <w:rPr>
          <w:rFonts w:ascii="Arial" w:eastAsiaTheme="minorHAnsi" w:hAnsi="Arial" w:cs="Arial"/>
          <w:b w:val="0"/>
          <w:iCs/>
        </w:rPr>
        <w:t>citada sentencia puede ser consultada en el siguiente link:</w:t>
      </w:r>
    </w:p>
    <w:p w14:paraId="0E9D6CDC" w14:textId="77777777" w:rsidR="00C66ABA" w:rsidRDefault="00C66ABA" w:rsidP="00807535">
      <w:pPr>
        <w:jc w:val="both"/>
        <w:rPr>
          <w:rFonts w:ascii="Arial" w:eastAsiaTheme="minorHAnsi" w:hAnsi="Arial" w:cs="Arial"/>
          <w:b w:val="0"/>
          <w:iCs/>
        </w:rPr>
      </w:pPr>
    </w:p>
    <w:p w14:paraId="13A2F859" w14:textId="4BE0EAD3" w:rsidR="00807535" w:rsidRPr="00C66ABA" w:rsidRDefault="00807535" w:rsidP="00807535">
      <w:pPr>
        <w:jc w:val="both"/>
        <w:rPr>
          <w:rFonts w:ascii="Arial" w:eastAsiaTheme="minorHAnsi" w:hAnsi="Arial" w:cs="Arial"/>
          <w:b w:val="0"/>
          <w:iCs/>
          <w:u w:val="single"/>
        </w:rPr>
      </w:pPr>
      <w:r w:rsidRPr="00C66ABA">
        <w:rPr>
          <w:rFonts w:ascii="Arial" w:eastAsiaTheme="minorHAnsi" w:hAnsi="Arial" w:cs="Arial"/>
          <w:b w:val="0"/>
          <w:iCs/>
          <w:u w:val="single"/>
        </w:rPr>
        <w:t>https://www.corteconstitucional.gov.co/relatoria/2025/T-529-25.htm</w:t>
      </w:r>
    </w:p>
    <w:p w14:paraId="17905684" w14:textId="77777777" w:rsidR="00807535" w:rsidRDefault="00807535" w:rsidP="00B93705">
      <w:pPr>
        <w:jc w:val="both"/>
        <w:rPr>
          <w:rFonts w:ascii="Arial" w:eastAsiaTheme="minorHAnsi" w:hAnsi="Arial" w:cs="Arial"/>
          <w:b w:val="0"/>
          <w:iCs/>
        </w:rPr>
      </w:pPr>
    </w:p>
    <w:p w14:paraId="05789A8C" w14:textId="77777777" w:rsidR="00807535" w:rsidRPr="00B93705" w:rsidRDefault="00807535" w:rsidP="00B93705">
      <w:pPr>
        <w:jc w:val="both"/>
        <w:rPr>
          <w:rFonts w:ascii="Arial" w:eastAsiaTheme="minorHAnsi" w:hAnsi="Arial" w:cs="Arial"/>
          <w:b w:val="0"/>
          <w:iCs/>
        </w:rPr>
      </w:pPr>
    </w:p>
    <w:p w14:paraId="6B15A43F" w14:textId="77777777" w:rsidR="00B93705" w:rsidRDefault="00B93705" w:rsidP="00B93705">
      <w:pPr>
        <w:jc w:val="both"/>
        <w:rPr>
          <w:rFonts w:ascii="Arial" w:eastAsiaTheme="minorHAnsi" w:hAnsi="Arial" w:cs="Arial"/>
          <w:b w:val="0"/>
          <w:iCs/>
        </w:rPr>
      </w:pPr>
      <w:r w:rsidRPr="00B93705">
        <w:rPr>
          <w:rFonts w:ascii="Arial" w:eastAsiaTheme="minorHAnsi" w:hAnsi="Arial" w:cs="Arial"/>
          <w:b w:val="0"/>
          <w:iCs/>
        </w:rPr>
        <w:lastRenderedPageBreak/>
        <w:t xml:space="preserve">Igualmente, para los casos en donde se presenta la categoría de conservación de área de amenaza natural del POMCA, se solicita tener en cuenta las zonificaciones y </w:t>
      </w:r>
      <w:r w:rsidRPr="00B93705">
        <w:rPr>
          <w:rFonts w:ascii="Arial" w:eastAsiaTheme="minorHAnsi" w:hAnsi="Arial" w:cs="Arial"/>
          <w:i/>
          <w:iCs/>
        </w:rPr>
        <w:t>delimitaciones resultantes de estudios detallados de amenazas por movimientos en masa, inundaciones y avenidas torrenciales,</w:t>
      </w:r>
      <w:r w:rsidRPr="00B93705">
        <w:rPr>
          <w:rFonts w:ascii="Arial" w:eastAsiaTheme="minorHAnsi" w:hAnsi="Arial" w:cs="Arial"/>
          <w:b w:val="0"/>
          <w:iCs/>
        </w:rPr>
        <w:t xml:space="preserve"> que existan y que se encuentren debidamente incorporadas en el instrumento de planificación territorial (EOT, PBOT y/o POT), primaran estas últimas.</w:t>
      </w:r>
    </w:p>
    <w:p w14:paraId="74EA5CF9" w14:textId="77777777" w:rsidR="006E3F5E" w:rsidRPr="00B93705" w:rsidRDefault="006E3F5E" w:rsidP="00BA60DD">
      <w:pPr>
        <w:jc w:val="both"/>
        <w:rPr>
          <w:rFonts w:ascii="Arial" w:eastAsiaTheme="minorHAnsi" w:hAnsi="Arial" w:cs="Arial"/>
          <w:b w:val="0"/>
        </w:rPr>
      </w:pPr>
    </w:p>
    <w:p w14:paraId="711372B1" w14:textId="6457ACDD" w:rsidR="009E7E76" w:rsidRDefault="00877F2F" w:rsidP="009E7E76">
      <w:pPr>
        <w:tabs>
          <w:tab w:val="left" w:pos="426"/>
        </w:tabs>
        <w:ind w:right="113"/>
        <w:contextualSpacing/>
        <w:jc w:val="both"/>
        <w:rPr>
          <w:rFonts w:ascii="Arial" w:eastAsiaTheme="minorHAnsi" w:hAnsi="Arial" w:cs="Arial"/>
          <w:b w:val="0"/>
        </w:rPr>
      </w:pPr>
      <w:r>
        <w:rPr>
          <w:rFonts w:ascii="Arial" w:eastAsiaTheme="minorHAnsi" w:hAnsi="Arial" w:cs="Arial"/>
          <w:b w:val="0"/>
        </w:rPr>
        <w:t>De acuerdo con el</w:t>
      </w:r>
      <w:r w:rsidR="009E7E76">
        <w:rPr>
          <w:rFonts w:ascii="Arial" w:eastAsiaTheme="minorHAnsi" w:hAnsi="Arial" w:cs="Arial"/>
          <w:b w:val="0"/>
        </w:rPr>
        <w:t xml:space="preserve"> interés de consulta por las áreas de riesgo y amenaza por inundación de</w:t>
      </w:r>
      <w:r w:rsidR="009E7E76" w:rsidRPr="008C425B">
        <w:rPr>
          <w:rFonts w:ascii="Arial" w:eastAsiaTheme="minorHAnsi" w:hAnsi="Arial" w:cs="Arial"/>
          <w:b w:val="0"/>
        </w:rPr>
        <w:t xml:space="preserve"> </w:t>
      </w:r>
      <w:r w:rsidR="00D6302F" w:rsidRPr="00D6302F">
        <w:rPr>
          <w:rFonts w:ascii="Arial" w:eastAsiaTheme="minorHAnsi" w:hAnsi="Arial" w:cs="Arial"/>
          <w:b w:val="0"/>
        </w:rPr>
        <w:t>los predios identificados con cédula catastral número 68001010900120012000, matricula inmobiliaria 300-214722 y cédula catastral número 68001010900120059000, matricula inmobiliaria 300-214723, ubicado en el sector Café Madrid del Municipio de Bucaramanga</w:t>
      </w:r>
      <w:r w:rsidR="009E7E76">
        <w:rPr>
          <w:rFonts w:ascii="Arial" w:eastAsiaTheme="minorHAnsi" w:hAnsi="Arial" w:cs="Arial"/>
          <w:b w:val="0"/>
        </w:rPr>
        <w:t>,</w:t>
      </w:r>
      <w:r w:rsidR="009E7E76" w:rsidRPr="008C425B">
        <w:rPr>
          <w:rFonts w:ascii="Arial" w:eastAsiaTheme="minorHAnsi" w:hAnsi="Arial" w:cs="Arial"/>
          <w:b w:val="0"/>
        </w:rPr>
        <w:t xml:space="preserve"> se encuentra reglamentado según la Zonificación Ambiental del POMCA RIO ALTO LEBRIJA,</w:t>
      </w:r>
      <w:r w:rsidR="00FE439A">
        <w:rPr>
          <w:rFonts w:ascii="Arial" w:eastAsiaTheme="minorHAnsi" w:hAnsi="Arial" w:cs="Arial"/>
          <w:b w:val="0"/>
        </w:rPr>
        <w:t xml:space="preserve"> en </w:t>
      </w:r>
      <w:r w:rsidR="00C73F24">
        <w:rPr>
          <w:rFonts w:ascii="Arial" w:eastAsiaTheme="minorHAnsi" w:hAnsi="Arial" w:cs="Arial"/>
          <w:b w:val="0"/>
        </w:rPr>
        <w:t xml:space="preserve">el </w:t>
      </w:r>
      <w:r w:rsidR="00C73F24" w:rsidRPr="008C425B">
        <w:rPr>
          <w:rFonts w:ascii="Arial" w:eastAsiaTheme="minorHAnsi" w:hAnsi="Arial" w:cs="Arial"/>
          <w:b w:val="0"/>
        </w:rPr>
        <w:t>adoptado</w:t>
      </w:r>
      <w:r w:rsidR="009E7E76" w:rsidRPr="008C425B">
        <w:rPr>
          <w:rFonts w:ascii="Arial" w:eastAsiaTheme="minorHAnsi" w:hAnsi="Arial" w:cs="Arial"/>
          <w:b w:val="0"/>
        </w:rPr>
        <w:t xml:space="preserve"> mediante Resolución CDMB N° 0392 de julio 17 de 2020 y se encuentra zonificado</w:t>
      </w:r>
      <w:r w:rsidR="00C73F24">
        <w:rPr>
          <w:rFonts w:ascii="Arial" w:eastAsiaTheme="minorHAnsi" w:hAnsi="Arial" w:cs="Arial"/>
          <w:b w:val="0"/>
        </w:rPr>
        <w:t xml:space="preserve"> según las determinantes de Amenaza por Inundación (</w:t>
      </w:r>
      <w:r w:rsidR="00411223" w:rsidRPr="00411223">
        <w:rPr>
          <w:rFonts w:ascii="Arial" w:eastAsiaTheme="minorHAnsi" w:hAnsi="Arial" w:cs="Arial"/>
          <w:bCs/>
          <w:iCs/>
        </w:rPr>
        <w:t xml:space="preserve">(ver. salida cartográfica anexa N° </w:t>
      </w:r>
      <w:r w:rsidR="00411223">
        <w:rPr>
          <w:rFonts w:ascii="Arial" w:eastAsiaTheme="minorHAnsi" w:hAnsi="Arial" w:cs="Arial"/>
          <w:bCs/>
          <w:iCs/>
        </w:rPr>
        <w:t>3</w:t>
      </w:r>
      <w:r w:rsidR="00C73F24">
        <w:rPr>
          <w:rFonts w:ascii="Arial" w:eastAsiaTheme="minorHAnsi" w:hAnsi="Arial" w:cs="Arial"/>
          <w:b w:val="0"/>
        </w:rPr>
        <w:t>) de dicho POMCA</w:t>
      </w:r>
      <w:r w:rsidR="009E7E76" w:rsidRPr="008C425B">
        <w:rPr>
          <w:rFonts w:ascii="Arial" w:eastAsiaTheme="minorHAnsi" w:hAnsi="Arial" w:cs="Arial"/>
          <w:b w:val="0"/>
        </w:rPr>
        <w:t xml:space="preserve"> de la siguiente manera</w:t>
      </w:r>
      <w:r w:rsidR="009E7E76">
        <w:rPr>
          <w:rFonts w:ascii="Arial" w:eastAsiaTheme="minorHAnsi" w:hAnsi="Arial" w:cs="Arial"/>
          <w:b w:val="0"/>
        </w:rPr>
        <w:t>:</w:t>
      </w:r>
    </w:p>
    <w:p w14:paraId="57142938" w14:textId="77777777" w:rsidR="00F84716" w:rsidRPr="009E7E76" w:rsidRDefault="00F84716" w:rsidP="00BA60DD">
      <w:pPr>
        <w:jc w:val="both"/>
        <w:rPr>
          <w:rFonts w:ascii="Arial" w:eastAsiaTheme="minorHAnsi" w:hAnsi="Arial" w:cs="Arial"/>
          <w:b w:val="0"/>
          <w:lang w:val="es-ES"/>
        </w:rPr>
      </w:pPr>
    </w:p>
    <w:tbl>
      <w:tblPr>
        <w:tblStyle w:val="Tablaconcuadrcula"/>
        <w:tblW w:w="0" w:type="auto"/>
        <w:tblInd w:w="-289" w:type="dxa"/>
        <w:tblLook w:val="04A0" w:firstRow="1" w:lastRow="0" w:firstColumn="1" w:lastColumn="0" w:noHBand="0" w:noVBand="1"/>
      </w:tblPr>
      <w:tblGrid>
        <w:gridCol w:w="2356"/>
        <w:gridCol w:w="3457"/>
        <w:gridCol w:w="1219"/>
        <w:gridCol w:w="1057"/>
        <w:gridCol w:w="1594"/>
      </w:tblGrid>
      <w:tr w:rsidR="00C73F24" w14:paraId="7F67802C" w14:textId="77777777" w:rsidTr="0011120B">
        <w:trPr>
          <w:trHeight w:val="170"/>
        </w:trPr>
        <w:tc>
          <w:tcPr>
            <w:tcW w:w="2356" w:type="dxa"/>
            <w:vAlign w:val="center"/>
          </w:tcPr>
          <w:p w14:paraId="52A5D917" w14:textId="16F12FBF" w:rsidR="00C73F24" w:rsidRDefault="00C73F24" w:rsidP="00C73F24">
            <w:pPr>
              <w:jc w:val="center"/>
              <w:rPr>
                <w:rFonts w:ascii="Arial" w:eastAsiaTheme="minorHAnsi" w:hAnsi="Arial" w:cs="Arial"/>
                <w:b w:val="0"/>
                <w:sz w:val="20"/>
                <w:szCs w:val="20"/>
                <w:lang w:val="es-ES"/>
              </w:rPr>
            </w:pPr>
            <w:r>
              <w:rPr>
                <w:rFonts w:ascii="Arial" w:eastAsiaTheme="minorHAnsi" w:hAnsi="Arial" w:cs="Arial"/>
                <w:b w:val="0"/>
                <w:sz w:val="20"/>
                <w:szCs w:val="20"/>
                <w:lang w:val="es-ES"/>
              </w:rPr>
              <w:t>PREDIO</w:t>
            </w:r>
          </w:p>
        </w:tc>
        <w:tc>
          <w:tcPr>
            <w:tcW w:w="3457" w:type="dxa"/>
            <w:vAlign w:val="center"/>
          </w:tcPr>
          <w:p w14:paraId="3F862697" w14:textId="7E99145C" w:rsidR="00C73F24" w:rsidRDefault="00C73F24" w:rsidP="00C73F24">
            <w:pPr>
              <w:jc w:val="center"/>
              <w:rPr>
                <w:rFonts w:ascii="Arial" w:eastAsiaTheme="minorHAnsi" w:hAnsi="Arial" w:cs="Arial"/>
                <w:b w:val="0"/>
                <w:sz w:val="20"/>
                <w:szCs w:val="20"/>
                <w:lang w:val="es-ES"/>
              </w:rPr>
            </w:pPr>
            <w:r>
              <w:rPr>
                <w:rFonts w:ascii="Arial" w:eastAsiaTheme="minorHAnsi" w:hAnsi="Arial" w:cs="Arial"/>
                <w:b w:val="0"/>
                <w:sz w:val="20"/>
                <w:szCs w:val="20"/>
                <w:lang w:val="es-ES"/>
              </w:rPr>
              <w:t>AMENAZA POR INUNDACIÓN</w:t>
            </w:r>
          </w:p>
        </w:tc>
        <w:tc>
          <w:tcPr>
            <w:tcW w:w="1219" w:type="dxa"/>
          </w:tcPr>
          <w:p w14:paraId="1BDC0744" w14:textId="0E71ACA6" w:rsidR="00C73F24" w:rsidRDefault="00C73F24" w:rsidP="00C73F24">
            <w:pPr>
              <w:jc w:val="center"/>
              <w:rPr>
                <w:rFonts w:ascii="Arial" w:eastAsiaTheme="minorHAnsi" w:hAnsi="Arial" w:cs="Arial"/>
                <w:b w:val="0"/>
                <w:sz w:val="20"/>
                <w:szCs w:val="20"/>
                <w:lang w:val="es-ES"/>
              </w:rPr>
            </w:pPr>
            <w:r>
              <w:rPr>
                <w:rFonts w:ascii="Arial" w:eastAsiaTheme="minorHAnsi" w:hAnsi="Arial" w:cs="Arial"/>
                <w:b w:val="0"/>
                <w:sz w:val="20"/>
                <w:szCs w:val="20"/>
                <w:lang w:val="es-ES"/>
              </w:rPr>
              <w:t>COLOR ZONA</w:t>
            </w:r>
          </w:p>
        </w:tc>
        <w:tc>
          <w:tcPr>
            <w:tcW w:w="1057" w:type="dxa"/>
            <w:vAlign w:val="center"/>
          </w:tcPr>
          <w:p w14:paraId="18834387" w14:textId="417E0D96" w:rsidR="00C73F24" w:rsidRDefault="00C73F24" w:rsidP="00C73F24">
            <w:pPr>
              <w:jc w:val="center"/>
              <w:rPr>
                <w:rFonts w:ascii="Arial" w:eastAsiaTheme="minorHAnsi" w:hAnsi="Arial" w:cs="Arial"/>
                <w:b w:val="0"/>
                <w:sz w:val="20"/>
                <w:szCs w:val="20"/>
                <w:lang w:val="es-ES"/>
              </w:rPr>
            </w:pPr>
            <w:r>
              <w:rPr>
                <w:rFonts w:ascii="Arial" w:eastAsiaTheme="minorHAnsi" w:hAnsi="Arial" w:cs="Arial"/>
                <w:b w:val="0"/>
                <w:sz w:val="20"/>
                <w:szCs w:val="20"/>
                <w:lang w:val="es-ES"/>
              </w:rPr>
              <w:t>ÁREA Ha</w:t>
            </w:r>
          </w:p>
        </w:tc>
        <w:tc>
          <w:tcPr>
            <w:tcW w:w="1594" w:type="dxa"/>
            <w:vAlign w:val="center"/>
          </w:tcPr>
          <w:p w14:paraId="7EC24F42" w14:textId="71760E0E" w:rsidR="00C73F24" w:rsidRDefault="00C73F24" w:rsidP="00C73F24">
            <w:pPr>
              <w:jc w:val="center"/>
              <w:rPr>
                <w:rFonts w:ascii="Arial" w:eastAsiaTheme="minorHAnsi" w:hAnsi="Arial" w:cs="Arial"/>
                <w:b w:val="0"/>
                <w:sz w:val="20"/>
                <w:szCs w:val="20"/>
                <w:lang w:val="es-ES"/>
              </w:rPr>
            </w:pPr>
            <w:r>
              <w:rPr>
                <w:rFonts w:ascii="Arial" w:eastAsiaTheme="minorHAnsi" w:hAnsi="Arial" w:cs="Arial"/>
                <w:b w:val="0"/>
                <w:sz w:val="20"/>
                <w:szCs w:val="20"/>
                <w:lang w:val="es-ES"/>
              </w:rPr>
              <w:t>PORCENTAJE</w:t>
            </w:r>
          </w:p>
        </w:tc>
      </w:tr>
      <w:tr w:rsidR="00B67EF0" w14:paraId="0336C685" w14:textId="77777777" w:rsidTr="008F2817">
        <w:trPr>
          <w:trHeight w:val="170"/>
        </w:trPr>
        <w:tc>
          <w:tcPr>
            <w:tcW w:w="2356" w:type="dxa"/>
            <w:vMerge w:val="restart"/>
            <w:vAlign w:val="center"/>
          </w:tcPr>
          <w:p w14:paraId="40AD1916" w14:textId="1EE1F71D" w:rsidR="00B67EF0" w:rsidRDefault="00B67EF0" w:rsidP="00B67EF0">
            <w:pPr>
              <w:jc w:val="center"/>
              <w:rPr>
                <w:rFonts w:ascii="Arial" w:eastAsiaTheme="minorHAnsi" w:hAnsi="Arial" w:cs="Arial"/>
                <w:b w:val="0"/>
                <w:sz w:val="20"/>
                <w:szCs w:val="20"/>
                <w:lang w:val="es-ES"/>
              </w:rPr>
            </w:pPr>
            <w:r>
              <w:rPr>
                <w:rFonts w:ascii="Arial" w:eastAsiaTheme="minorHAnsi" w:hAnsi="Arial" w:cs="Arial"/>
                <w:b w:val="0"/>
                <w:sz w:val="20"/>
                <w:szCs w:val="20"/>
                <w:lang w:val="es-ES"/>
              </w:rPr>
              <w:t>0</w:t>
            </w:r>
            <w:r w:rsidR="00F75DF7">
              <w:rPr>
                <w:rFonts w:ascii="Arial" w:eastAsiaTheme="minorHAnsi" w:hAnsi="Arial" w:cs="Arial"/>
                <w:b w:val="0"/>
                <w:sz w:val="20"/>
                <w:szCs w:val="20"/>
                <w:lang w:val="es-ES"/>
              </w:rPr>
              <w:t>1</w:t>
            </w:r>
            <w:r>
              <w:rPr>
                <w:rFonts w:ascii="Arial" w:eastAsiaTheme="minorHAnsi" w:hAnsi="Arial" w:cs="Arial"/>
                <w:b w:val="0"/>
                <w:sz w:val="20"/>
                <w:szCs w:val="20"/>
                <w:lang w:val="es-ES"/>
              </w:rPr>
              <w:t>-0</w:t>
            </w:r>
            <w:r w:rsidR="00F75DF7">
              <w:rPr>
                <w:rFonts w:ascii="Arial" w:eastAsiaTheme="minorHAnsi" w:hAnsi="Arial" w:cs="Arial"/>
                <w:b w:val="0"/>
                <w:sz w:val="20"/>
                <w:szCs w:val="20"/>
                <w:lang w:val="es-ES"/>
              </w:rPr>
              <w:t>9</w:t>
            </w:r>
            <w:r>
              <w:rPr>
                <w:rFonts w:ascii="Arial" w:eastAsiaTheme="minorHAnsi" w:hAnsi="Arial" w:cs="Arial"/>
                <w:b w:val="0"/>
                <w:sz w:val="20"/>
                <w:szCs w:val="20"/>
                <w:lang w:val="es-ES"/>
              </w:rPr>
              <w:t>-001</w:t>
            </w:r>
            <w:r w:rsidR="00F75DF7">
              <w:rPr>
                <w:rFonts w:ascii="Arial" w:eastAsiaTheme="minorHAnsi" w:hAnsi="Arial" w:cs="Arial"/>
                <w:b w:val="0"/>
                <w:sz w:val="20"/>
                <w:szCs w:val="20"/>
                <w:lang w:val="es-ES"/>
              </w:rPr>
              <w:t>2</w:t>
            </w:r>
            <w:r>
              <w:rPr>
                <w:rFonts w:ascii="Arial" w:eastAsiaTheme="minorHAnsi" w:hAnsi="Arial" w:cs="Arial"/>
                <w:b w:val="0"/>
                <w:sz w:val="20"/>
                <w:szCs w:val="20"/>
                <w:lang w:val="es-ES"/>
              </w:rPr>
              <w:t>-0</w:t>
            </w:r>
            <w:r w:rsidR="00F75DF7">
              <w:rPr>
                <w:rFonts w:ascii="Arial" w:eastAsiaTheme="minorHAnsi" w:hAnsi="Arial" w:cs="Arial"/>
                <w:b w:val="0"/>
                <w:sz w:val="20"/>
                <w:szCs w:val="20"/>
                <w:lang w:val="es-ES"/>
              </w:rPr>
              <w:t>012</w:t>
            </w:r>
            <w:r>
              <w:rPr>
                <w:rFonts w:ascii="Arial" w:eastAsiaTheme="minorHAnsi" w:hAnsi="Arial" w:cs="Arial"/>
                <w:b w:val="0"/>
                <w:sz w:val="20"/>
                <w:szCs w:val="20"/>
                <w:lang w:val="es-ES"/>
              </w:rPr>
              <w:t>-000</w:t>
            </w:r>
          </w:p>
        </w:tc>
        <w:tc>
          <w:tcPr>
            <w:tcW w:w="3457" w:type="dxa"/>
            <w:vAlign w:val="center"/>
          </w:tcPr>
          <w:p w14:paraId="4BA839A2" w14:textId="730D5889" w:rsidR="00B67EF0" w:rsidRDefault="00B67EF0" w:rsidP="00B67EF0">
            <w:pPr>
              <w:jc w:val="center"/>
              <w:rPr>
                <w:rFonts w:ascii="Arial" w:eastAsiaTheme="minorHAnsi" w:hAnsi="Arial" w:cs="Arial"/>
                <w:b w:val="0"/>
                <w:sz w:val="20"/>
                <w:szCs w:val="20"/>
                <w:lang w:val="es-ES"/>
              </w:rPr>
            </w:pPr>
            <w:r>
              <w:rPr>
                <w:rFonts w:ascii="Arial" w:eastAsiaTheme="minorHAnsi" w:hAnsi="Arial" w:cs="Arial"/>
                <w:b w:val="0"/>
                <w:sz w:val="20"/>
                <w:szCs w:val="20"/>
                <w:lang w:val="es-ES"/>
              </w:rPr>
              <w:t>Amenaza Media</w:t>
            </w:r>
          </w:p>
        </w:tc>
        <w:tc>
          <w:tcPr>
            <w:tcW w:w="1219" w:type="dxa"/>
            <w:shd w:val="clear" w:color="auto" w:fill="FFFF00"/>
          </w:tcPr>
          <w:p w14:paraId="62964477" w14:textId="77777777" w:rsidR="00B67EF0" w:rsidRDefault="00B67EF0" w:rsidP="00B67EF0">
            <w:pPr>
              <w:jc w:val="center"/>
              <w:rPr>
                <w:rFonts w:ascii="Arial" w:eastAsiaTheme="minorHAnsi" w:hAnsi="Arial" w:cs="Arial"/>
                <w:b w:val="0"/>
                <w:sz w:val="20"/>
                <w:szCs w:val="20"/>
                <w:lang w:val="es-ES"/>
              </w:rPr>
            </w:pPr>
          </w:p>
        </w:tc>
        <w:tc>
          <w:tcPr>
            <w:tcW w:w="1057" w:type="dxa"/>
            <w:vAlign w:val="center"/>
          </w:tcPr>
          <w:p w14:paraId="0FB7D120" w14:textId="43905523" w:rsidR="00B67EF0" w:rsidRDefault="005A2395" w:rsidP="00B67EF0">
            <w:pPr>
              <w:jc w:val="center"/>
              <w:rPr>
                <w:rFonts w:ascii="Arial" w:eastAsiaTheme="minorHAnsi" w:hAnsi="Arial" w:cs="Arial"/>
                <w:b w:val="0"/>
                <w:sz w:val="20"/>
                <w:szCs w:val="20"/>
                <w:lang w:val="es-ES"/>
              </w:rPr>
            </w:pPr>
            <w:r>
              <w:rPr>
                <w:rFonts w:ascii="Arial" w:eastAsiaTheme="minorHAnsi" w:hAnsi="Arial" w:cs="Arial"/>
                <w:b w:val="0"/>
                <w:sz w:val="20"/>
                <w:szCs w:val="20"/>
                <w:lang w:val="es-ES"/>
              </w:rPr>
              <w:t>0,04</w:t>
            </w:r>
          </w:p>
        </w:tc>
        <w:tc>
          <w:tcPr>
            <w:tcW w:w="1594" w:type="dxa"/>
            <w:vAlign w:val="center"/>
          </w:tcPr>
          <w:p w14:paraId="19DE60DD" w14:textId="2C46D504" w:rsidR="00B67EF0" w:rsidRDefault="005A2395" w:rsidP="00B67EF0">
            <w:pPr>
              <w:jc w:val="center"/>
              <w:rPr>
                <w:rFonts w:ascii="Arial" w:eastAsiaTheme="minorHAnsi" w:hAnsi="Arial" w:cs="Arial"/>
                <w:b w:val="0"/>
                <w:sz w:val="20"/>
                <w:szCs w:val="20"/>
                <w:lang w:val="es-ES"/>
              </w:rPr>
            </w:pPr>
            <w:r>
              <w:rPr>
                <w:rFonts w:ascii="Arial" w:eastAsiaTheme="minorHAnsi" w:hAnsi="Arial" w:cs="Arial"/>
                <w:b w:val="0"/>
                <w:sz w:val="20"/>
                <w:szCs w:val="20"/>
                <w:lang w:val="es-ES"/>
              </w:rPr>
              <w:t>2,24</w:t>
            </w:r>
          </w:p>
        </w:tc>
      </w:tr>
      <w:tr w:rsidR="00C73F24" w14:paraId="6C2B1C0C" w14:textId="77777777" w:rsidTr="00B67EF0">
        <w:trPr>
          <w:trHeight w:val="170"/>
        </w:trPr>
        <w:tc>
          <w:tcPr>
            <w:tcW w:w="2356" w:type="dxa"/>
            <w:vMerge/>
            <w:vAlign w:val="center"/>
          </w:tcPr>
          <w:p w14:paraId="676A93B0" w14:textId="77777777" w:rsidR="00C73F24" w:rsidRDefault="00C73F24" w:rsidP="00C73F24">
            <w:pPr>
              <w:jc w:val="center"/>
              <w:rPr>
                <w:rFonts w:ascii="Arial" w:eastAsiaTheme="minorHAnsi" w:hAnsi="Arial" w:cs="Arial"/>
                <w:b w:val="0"/>
                <w:sz w:val="20"/>
                <w:szCs w:val="20"/>
                <w:lang w:val="es-ES"/>
              </w:rPr>
            </w:pPr>
          </w:p>
        </w:tc>
        <w:tc>
          <w:tcPr>
            <w:tcW w:w="3457" w:type="dxa"/>
            <w:vAlign w:val="center"/>
          </w:tcPr>
          <w:p w14:paraId="7EB0A9B1" w14:textId="3B407BC8" w:rsidR="00C73F24" w:rsidRDefault="00B67EF0" w:rsidP="00C73F24">
            <w:pPr>
              <w:jc w:val="center"/>
              <w:rPr>
                <w:rFonts w:ascii="Arial" w:eastAsiaTheme="minorHAnsi" w:hAnsi="Arial" w:cs="Arial"/>
                <w:b w:val="0"/>
                <w:sz w:val="20"/>
                <w:szCs w:val="20"/>
                <w:lang w:val="es-ES"/>
              </w:rPr>
            </w:pPr>
            <w:r>
              <w:rPr>
                <w:rFonts w:ascii="Arial" w:eastAsiaTheme="minorHAnsi" w:hAnsi="Arial" w:cs="Arial"/>
                <w:b w:val="0"/>
                <w:sz w:val="20"/>
                <w:szCs w:val="20"/>
                <w:lang w:val="es-ES"/>
              </w:rPr>
              <w:t>Amen</w:t>
            </w:r>
            <w:r w:rsidR="00CB0DF4">
              <w:rPr>
                <w:rFonts w:ascii="Arial" w:eastAsiaTheme="minorHAnsi" w:hAnsi="Arial" w:cs="Arial"/>
                <w:b w:val="0"/>
                <w:sz w:val="20"/>
                <w:szCs w:val="20"/>
                <w:lang w:val="es-ES"/>
              </w:rPr>
              <w:t>aza Alta</w:t>
            </w:r>
          </w:p>
        </w:tc>
        <w:tc>
          <w:tcPr>
            <w:tcW w:w="1219" w:type="dxa"/>
            <w:shd w:val="clear" w:color="auto" w:fill="EE0000"/>
          </w:tcPr>
          <w:p w14:paraId="1C943F35" w14:textId="77777777" w:rsidR="00C73F24" w:rsidRDefault="00C73F24" w:rsidP="00C73F24">
            <w:pPr>
              <w:jc w:val="center"/>
              <w:rPr>
                <w:rFonts w:ascii="Arial" w:eastAsiaTheme="minorHAnsi" w:hAnsi="Arial" w:cs="Arial"/>
                <w:b w:val="0"/>
                <w:sz w:val="20"/>
                <w:szCs w:val="20"/>
                <w:lang w:val="es-ES"/>
              </w:rPr>
            </w:pPr>
          </w:p>
        </w:tc>
        <w:tc>
          <w:tcPr>
            <w:tcW w:w="1057" w:type="dxa"/>
            <w:vAlign w:val="center"/>
          </w:tcPr>
          <w:p w14:paraId="5A6AEB94" w14:textId="7638993B" w:rsidR="00C73F24" w:rsidRDefault="005A2395" w:rsidP="00C73F24">
            <w:pPr>
              <w:jc w:val="center"/>
              <w:rPr>
                <w:rFonts w:ascii="Arial" w:eastAsiaTheme="minorHAnsi" w:hAnsi="Arial" w:cs="Arial"/>
                <w:b w:val="0"/>
                <w:sz w:val="20"/>
                <w:szCs w:val="20"/>
                <w:lang w:val="es-ES"/>
              </w:rPr>
            </w:pPr>
            <w:r>
              <w:rPr>
                <w:rFonts w:ascii="Arial" w:eastAsiaTheme="minorHAnsi" w:hAnsi="Arial" w:cs="Arial"/>
                <w:b w:val="0"/>
                <w:sz w:val="20"/>
                <w:szCs w:val="20"/>
                <w:lang w:val="es-ES"/>
              </w:rPr>
              <w:t>1,7</w:t>
            </w:r>
            <w:r w:rsidR="005835F8">
              <w:rPr>
                <w:rFonts w:ascii="Arial" w:eastAsiaTheme="minorHAnsi" w:hAnsi="Arial" w:cs="Arial"/>
                <w:b w:val="0"/>
                <w:sz w:val="20"/>
                <w:szCs w:val="20"/>
                <w:lang w:val="es-ES"/>
              </w:rPr>
              <w:t>4</w:t>
            </w:r>
          </w:p>
        </w:tc>
        <w:tc>
          <w:tcPr>
            <w:tcW w:w="1594" w:type="dxa"/>
            <w:vAlign w:val="center"/>
          </w:tcPr>
          <w:p w14:paraId="52DC6568" w14:textId="51C73384" w:rsidR="00C73F24" w:rsidRDefault="005835F8" w:rsidP="00C73F24">
            <w:pPr>
              <w:jc w:val="center"/>
              <w:rPr>
                <w:rFonts w:ascii="Arial" w:eastAsiaTheme="minorHAnsi" w:hAnsi="Arial" w:cs="Arial"/>
                <w:b w:val="0"/>
                <w:sz w:val="20"/>
                <w:szCs w:val="20"/>
                <w:lang w:val="es-ES"/>
              </w:rPr>
            </w:pPr>
            <w:r>
              <w:rPr>
                <w:rFonts w:ascii="Arial" w:eastAsiaTheme="minorHAnsi" w:hAnsi="Arial" w:cs="Arial"/>
                <w:b w:val="0"/>
                <w:sz w:val="20"/>
                <w:szCs w:val="20"/>
                <w:lang w:val="es-ES"/>
              </w:rPr>
              <w:t>97,76</w:t>
            </w:r>
          </w:p>
        </w:tc>
      </w:tr>
      <w:tr w:rsidR="00C73F24" w14:paraId="7B3E4B1C" w14:textId="77777777" w:rsidTr="0011120B">
        <w:trPr>
          <w:trHeight w:val="170"/>
        </w:trPr>
        <w:tc>
          <w:tcPr>
            <w:tcW w:w="7032" w:type="dxa"/>
            <w:gridSpan w:val="3"/>
            <w:vAlign w:val="center"/>
          </w:tcPr>
          <w:p w14:paraId="66BD9909" w14:textId="736FEEEB" w:rsidR="00C73F24" w:rsidRDefault="00C73F24" w:rsidP="00C73F24">
            <w:pPr>
              <w:jc w:val="center"/>
              <w:rPr>
                <w:rFonts w:ascii="Arial" w:eastAsiaTheme="minorHAnsi" w:hAnsi="Arial" w:cs="Arial"/>
                <w:b w:val="0"/>
                <w:sz w:val="20"/>
                <w:szCs w:val="20"/>
                <w:lang w:val="es-ES"/>
              </w:rPr>
            </w:pPr>
            <w:r>
              <w:rPr>
                <w:rFonts w:ascii="Arial" w:eastAsiaTheme="minorHAnsi" w:hAnsi="Arial" w:cs="Arial"/>
                <w:b w:val="0"/>
                <w:sz w:val="20"/>
                <w:szCs w:val="20"/>
                <w:lang w:val="es-ES"/>
              </w:rPr>
              <w:t>TOTAL</w:t>
            </w:r>
          </w:p>
        </w:tc>
        <w:tc>
          <w:tcPr>
            <w:tcW w:w="1057" w:type="dxa"/>
            <w:vAlign w:val="center"/>
          </w:tcPr>
          <w:p w14:paraId="3261DA35" w14:textId="26067FFB" w:rsidR="00C73F24" w:rsidRDefault="005835F8" w:rsidP="00C73F24">
            <w:pPr>
              <w:jc w:val="center"/>
              <w:rPr>
                <w:rFonts w:ascii="Arial" w:eastAsiaTheme="minorHAnsi" w:hAnsi="Arial" w:cs="Arial"/>
                <w:b w:val="0"/>
                <w:sz w:val="20"/>
                <w:szCs w:val="20"/>
                <w:lang w:val="es-ES"/>
              </w:rPr>
            </w:pPr>
            <w:r>
              <w:rPr>
                <w:rFonts w:ascii="Arial" w:eastAsiaTheme="minorHAnsi" w:hAnsi="Arial" w:cs="Arial"/>
                <w:b w:val="0"/>
                <w:sz w:val="20"/>
                <w:szCs w:val="20"/>
                <w:lang w:val="es-ES"/>
              </w:rPr>
              <w:t>1,78</w:t>
            </w:r>
          </w:p>
        </w:tc>
        <w:tc>
          <w:tcPr>
            <w:tcW w:w="1594" w:type="dxa"/>
            <w:vAlign w:val="center"/>
          </w:tcPr>
          <w:p w14:paraId="6EFD01E3" w14:textId="7D45ECC4" w:rsidR="00C73F24" w:rsidRDefault="00C73F24" w:rsidP="00C73F24">
            <w:pPr>
              <w:jc w:val="center"/>
              <w:rPr>
                <w:rFonts w:ascii="Arial" w:eastAsiaTheme="minorHAnsi" w:hAnsi="Arial" w:cs="Arial"/>
                <w:b w:val="0"/>
                <w:sz w:val="20"/>
                <w:szCs w:val="20"/>
                <w:lang w:val="es-ES"/>
              </w:rPr>
            </w:pPr>
            <w:r>
              <w:rPr>
                <w:rFonts w:ascii="Arial" w:eastAsiaTheme="minorHAnsi" w:hAnsi="Arial" w:cs="Arial"/>
                <w:b w:val="0"/>
                <w:sz w:val="20"/>
                <w:szCs w:val="20"/>
                <w:lang w:val="es-ES"/>
              </w:rPr>
              <w:t>100,00</w:t>
            </w:r>
          </w:p>
        </w:tc>
      </w:tr>
    </w:tbl>
    <w:p w14:paraId="0C3BF2AA" w14:textId="77777777" w:rsidR="00AA3461" w:rsidRDefault="00AA3461" w:rsidP="00C73F24">
      <w:pPr>
        <w:jc w:val="both"/>
        <w:rPr>
          <w:rFonts w:ascii="Arial" w:hAnsi="Arial" w:cs="Arial"/>
          <w:bCs/>
          <w:sz w:val="16"/>
          <w:szCs w:val="16"/>
          <w:lang w:val="es-ES"/>
        </w:rPr>
      </w:pPr>
    </w:p>
    <w:p w14:paraId="1028EA45" w14:textId="77777777" w:rsidR="00AA3461" w:rsidRPr="00AA3461" w:rsidRDefault="00AA3461" w:rsidP="00C73F24">
      <w:pPr>
        <w:jc w:val="both"/>
        <w:rPr>
          <w:rFonts w:ascii="Arial" w:hAnsi="Arial" w:cs="Arial"/>
          <w:bCs/>
          <w:sz w:val="20"/>
          <w:szCs w:val="20"/>
          <w:lang w:val="es-ES"/>
        </w:rPr>
      </w:pPr>
    </w:p>
    <w:tbl>
      <w:tblPr>
        <w:tblStyle w:val="Tablaconcuadrcula"/>
        <w:tblW w:w="0" w:type="auto"/>
        <w:tblInd w:w="-289" w:type="dxa"/>
        <w:tblLook w:val="04A0" w:firstRow="1" w:lastRow="0" w:firstColumn="1" w:lastColumn="0" w:noHBand="0" w:noVBand="1"/>
      </w:tblPr>
      <w:tblGrid>
        <w:gridCol w:w="2356"/>
        <w:gridCol w:w="3457"/>
        <w:gridCol w:w="1219"/>
        <w:gridCol w:w="1057"/>
        <w:gridCol w:w="1594"/>
      </w:tblGrid>
      <w:tr w:rsidR="00AA3461" w:rsidRPr="00F75DF7" w14:paraId="04064BAD" w14:textId="77777777" w:rsidTr="00F75DF7">
        <w:trPr>
          <w:trHeight w:val="170"/>
        </w:trPr>
        <w:tc>
          <w:tcPr>
            <w:tcW w:w="2356" w:type="dxa"/>
            <w:vAlign w:val="center"/>
          </w:tcPr>
          <w:p w14:paraId="03F55B6C" w14:textId="77777777" w:rsidR="00AA3461" w:rsidRPr="00F75DF7" w:rsidRDefault="00AA3461" w:rsidP="00F75DF7">
            <w:pPr>
              <w:jc w:val="center"/>
              <w:rPr>
                <w:rFonts w:ascii="Arial" w:hAnsi="Arial" w:cs="Arial"/>
                <w:b w:val="0"/>
                <w:sz w:val="20"/>
                <w:szCs w:val="20"/>
                <w:lang w:val="es-ES"/>
              </w:rPr>
            </w:pPr>
            <w:r w:rsidRPr="00F75DF7">
              <w:rPr>
                <w:rFonts w:ascii="Arial" w:hAnsi="Arial" w:cs="Arial"/>
                <w:b w:val="0"/>
                <w:sz w:val="20"/>
                <w:szCs w:val="20"/>
                <w:lang w:val="es-ES"/>
              </w:rPr>
              <w:t>PREDIO</w:t>
            </w:r>
          </w:p>
        </w:tc>
        <w:tc>
          <w:tcPr>
            <w:tcW w:w="3457" w:type="dxa"/>
            <w:vAlign w:val="center"/>
          </w:tcPr>
          <w:p w14:paraId="76C0E6D8" w14:textId="77777777" w:rsidR="00AA3461" w:rsidRPr="00F75DF7" w:rsidRDefault="00AA3461" w:rsidP="00F75DF7">
            <w:pPr>
              <w:jc w:val="center"/>
              <w:rPr>
                <w:rFonts w:ascii="Arial" w:hAnsi="Arial" w:cs="Arial"/>
                <w:b w:val="0"/>
                <w:sz w:val="20"/>
                <w:szCs w:val="20"/>
                <w:lang w:val="es-ES"/>
              </w:rPr>
            </w:pPr>
            <w:r w:rsidRPr="00F75DF7">
              <w:rPr>
                <w:rFonts w:ascii="Arial" w:hAnsi="Arial" w:cs="Arial"/>
                <w:b w:val="0"/>
                <w:sz w:val="20"/>
                <w:szCs w:val="20"/>
                <w:lang w:val="es-ES"/>
              </w:rPr>
              <w:t>AMENAZA POR INUNDACIÓN</w:t>
            </w:r>
          </w:p>
        </w:tc>
        <w:tc>
          <w:tcPr>
            <w:tcW w:w="1219" w:type="dxa"/>
            <w:vAlign w:val="center"/>
          </w:tcPr>
          <w:p w14:paraId="6164D78A" w14:textId="77777777" w:rsidR="00AA3461" w:rsidRPr="00F75DF7" w:rsidRDefault="00AA3461" w:rsidP="00F75DF7">
            <w:pPr>
              <w:jc w:val="center"/>
              <w:rPr>
                <w:rFonts w:ascii="Arial" w:hAnsi="Arial" w:cs="Arial"/>
                <w:b w:val="0"/>
                <w:sz w:val="20"/>
                <w:szCs w:val="20"/>
                <w:lang w:val="es-ES"/>
              </w:rPr>
            </w:pPr>
            <w:r w:rsidRPr="00F75DF7">
              <w:rPr>
                <w:rFonts w:ascii="Arial" w:hAnsi="Arial" w:cs="Arial"/>
                <w:b w:val="0"/>
                <w:sz w:val="20"/>
                <w:szCs w:val="20"/>
                <w:lang w:val="es-ES"/>
              </w:rPr>
              <w:t>COLOR ZONA</w:t>
            </w:r>
          </w:p>
        </w:tc>
        <w:tc>
          <w:tcPr>
            <w:tcW w:w="1057" w:type="dxa"/>
            <w:vAlign w:val="center"/>
          </w:tcPr>
          <w:p w14:paraId="74ADB8B3" w14:textId="77777777" w:rsidR="00AA3461" w:rsidRPr="00F75DF7" w:rsidRDefault="00AA3461" w:rsidP="00F75DF7">
            <w:pPr>
              <w:jc w:val="center"/>
              <w:rPr>
                <w:rFonts w:ascii="Arial" w:hAnsi="Arial" w:cs="Arial"/>
                <w:b w:val="0"/>
                <w:sz w:val="20"/>
                <w:szCs w:val="20"/>
                <w:lang w:val="es-ES"/>
              </w:rPr>
            </w:pPr>
            <w:r w:rsidRPr="00F75DF7">
              <w:rPr>
                <w:rFonts w:ascii="Arial" w:hAnsi="Arial" w:cs="Arial"/>
                <w:b w:val="0"/>
                <w:sz w:val="20"/>
                <w:szCs w:val="20"/>
                <w:lang w:val="es-ES"/>
              </w:rPr>
              <w:t>ÁREA Ha</w:t>
            </w:r>
          </w:p>
        </w:tc>
        <w:tc>
          <w:tcPr>
            <w:tcW w:w="1594" w:type="dxa"/>
            <w:vAlign w:val="center"/>
          </w:tcPr>
          <w:p w14:paraId="479396A0" w14:textId="77777777" w:rsidR="00AA3461" w:rsidRPr="00F75DF7" w:rsidRDefault="00AA3461" w:rsidP="00F75DF7">
            <w:pPr>
              <w:jc w:val="center"/>
              <w:rPr>
                <w:rFonts w:ascii="Arial" w:hAnsi="Arial" w:cs="Arial"/>
                <w:b w:val="0"/>
                <w:sz w:val="20"/>
                <w:szCs w:val="20"/>
                <w:lang w:val="es-ES"/>
              </w:rPr>
            </w:pPr>
            <w:r w:rsidRPr="00F75DF7">
              <w:rPr>
                <w:rFonts w:ascii="Arial" w:hAnsi="Arial" w:cs="Arial"/>
                <w:b w:val="0"/>
                <w:sz w:val="20"/>
                <w:szCs w:val="20"/>
                <w:lang w:val="es-ES"/>
              </w:rPr>
              <w:t>PORCENTAJE</w:t>
            </w:r>
          </w:p>
        </w:tc>
      </w:tr>
      <w:tr w:rsidR="00F75DF7" w:rsidRPr="00F75DF7" w14:paraId="0FE95F8F" w14:textId="77777777" w:rsidTr="00F75DF7">
        <w:trPr>
          <w:trHeight w:val="170"/>
        </w:trPr>
        <w:tc>
          <w:tcPr>
            <w:tcW w:w="2356" w:type="dxa"/>
            <w:vAlign w:val="center"/>
          </w:tcPr>
          <w:p w14:paraId="0091CD45" w14:textId="612C76FA" w:rsidR="00F75DF7" w:rsidRPr="00F75DF7" w:rsidRDefault="00F75DF7" w:rsidP="00F75DF7">
            <w:pPr>
              <w:jc w:val="center"/>
              <w:rPr>
                <w:rFonts w:ascii="Arial" w:hAnsi="Arial" w:cs="Arial"/>
                <w:b w:val="0"/>
                <w:sz w:val="20"/>
                <w:szCs w:val="20"/>
                <w:lang w:val="es-ES"/>
              </w:rPr>
            </w:pPr>
            <w:r w:rsidRPr="00F75DF7">
              <w:rPr>
                <w:rFonts w:ascii="Arial" w:hAnsi="Arial" w:cs="Arial"/>
                <w:b w:val="0"/>
                <w:sz w:val="20"/>
                <w:szCs w:val="20"/>
                <w:lang w:val="es-ES"/>
              </w:rPr>
              <w:t>0</w:t>
            </w:r>
            <w:r w:rsidR="005835F8">
              <w:rPr>
                <w:rFonts w:ascii="Arial" w:hAnsi="Arial" w:cs="Arial"/>
                <w:b w:val="0"/>
                <w:sz w:val="20"/>
                <w:szCs w:val="20"/>
                <w:lang w:val="es-ES"/>
              </w:rPr>
              <w:t>1</w:t>
            </w:r>
            <w:r w:rsidRPr="00F75DF7">
              <w:rPr>
                <w:rFonts w:ascii="Arial" w:hAnsi="Arial" w:cs="Arial"/>
                <w:b w:val="0"/>
                <w:sz w:val="20"/>
                <w:szCs w:val="20"/>
                <w:lang w:val="es-ES"/>
              </w:rPr>
              <w:t>-0</w:t>
            </w:r>
            <w:r w:rsidR="005835F8">
              <w:rPr>
                <w:rFonts w:ascii="Arial" w:hAnsi="Arial" w:cs="Arial"/>
                <w:b w:val="0"/>
                <w:sz w:val="20"/>
                <w:szCs w:val="20"/>
                <w:lang w:val="es-ES"/>
              </w:rPr>
              <w:t>9</w:t>
            </w:r>
            <w:r w:rsidRPr="00F75DF7">
              <w:rPr>
                <w:rFonts w:ascii="Arial" w:hAnsi="Arial" w:cs="Arial"/>
                <w:b w:val="0"/>
                <w:sz w:val="20"/>
                <w:szCs w:val="20"/>
                <w:lang w:val="es-ES"/>
              </w:rPr>
              <w:t>-001</w:t>
            </w:r>
            <w:r w:rsidR="005835F8">
              <w:rPr>
                <w:rFonts w:ascii="Arial" w:hAnsi="Arial" w:cs="Arial"/>
                <w:b w:val="0"/>
                <w:sz w:val="20"/>
                <w:szCs w:val="20"/>
                <w:lang w:val="es-ES"/>
              </w:rPr>
              <w:t>2</w:t>
            </w:r>
            <w:r w:rsidRPr="00F75DF7">
              <w:rPr>
                <w:rFonts w:ascii="Arial" w:hAnsi="Arial" w:cs="Arial"/>
                <w:b w:val="0"/>
                <w:sz w:val="20"/>
                <w:szCs w:val="20"/>
                <w:lang w:val="es-ES"/>
              </w:rPr>
              <w:t>-0</w:t>
            </w:r>
            <w:r w:rsidR="005835F8">
              <w:rPr>
                <w:rFonts w:ascii="Arial" w:hAnsi="Arial" w:cs="Arial"/>
                <w:b w:val="0"/>
                <w:sz w:val="20"/>
                <w:szCs w:val="20"/>
                <w:lang w:val="es-ES"/>
              </w:rPr>
              <w:t>059</w:t>
            </w:r>
            <w:r w:rsidRPr="00F75DF7">
              <w:rPr>
                <w:rFonts w:ascii="Arial" w:hAnsi="Arial" w:cs="Arial"/>
                <w:b w:val="0"/>
                <w:sz w:val="20"/>
                <w:szCs w:val="20"/>
                <w:lang w:val="es-ES"/>
              </w:rPr>
              <w:t>-000</w:t>
            </w:r>
          </w:p>
        </w:tc>
        <w:tc>
          <w:tcPr>
            <w:tcW w:w="3457" w:type="dxa"/>
            <w:vAlign w:val="center"/>
          </w:tcPr>
          <w:p w14:paraId="747C83FD" w14:textId="5FC8C173" w:rsidR="00F75DF7" w:rsidRPr="00F75DF7" w:rsidRDefault="00F75DF7" w:rsidP="00F75DF7">
            <w:pPr>
              <w:jc w:val="center"/>
              <w:rPr>
                <w:rFonts w:ascii="Arial" w:hAnsi="Arial" w:cs="Arial"/>
                <w:b w:val="0"/>
                <w:sz w:val="20"/>
                <w:szCs w:val="20"/>
                <w:lang w:val="es-ES"/>
              </w:rPr>
            </w:pPr>
            <w:r>
              <w:rPr>
                <w:rFonts w:ascii="Arial" w:hAnsi="Arial" w:cs="Arial"/>
                <w:b w:val="0"/>
                <w:sz w:val="20"/>
                <w:szCs w:val="20"/>
                <w:lang w:val="es-ES"/>
              </w:rPr>
              <w:t xml:space="preserve">Amenaza </w:t>
            </w:r>
            <w:r w:rsidR="005A2395">
              <w:rPr>
                <w:rFonts w:ascii="Arial" w:hAnsi="Arial" w:cs="Arial"/>
                <w:b w:val="0"/>
                <w:sz w:val="20"/>
                <w:szCs w:val="20"/>
                <w:lang w:val="es-ES"/>
              </w:rPr>
              <w:t>Alta</w:t>
            </w:r>
          </w:p>
        </w:tc>
        <w:tc>
          <w:tcPr>
            <w:tcW w:w="1219" w:type="dxa"/>
            <w:shd w:val="clear" w:color="auto" w:fill="EE0000"/>
            <w:vAlign w:val="center"/>
          </w:tcPr>
          <w:p w14:paraId="67E07C64" w14:textId="77777777" w:rsidR="00F75DF7" w:rsidRPr="00F75DF7" w:rsidRDefault="00F75DF7" w:rsidP="00F75DF7">
            <w:pPr>
              <w:jc w:val="center"/>
              <w:rPr>
                <w:rFonts w:ascii="Arial" w:hAnsi="Arial" w:cs="Arial"/>
                <w:b w:val="0"/>
                <w:sz w:val="20"/>
                <w:szCs w:val="20"/>
                <w:lang w:val="es-ES"/>
              </w:rPr>
            </w:pPr>
          </w:p>
        </w:tc>
        <w:tc>
          <w:tcPr>
            <w:tcW w:w="1057" w:type="dxa"/>
            <w:vAlign w:val="center"/>
          </w:tcPr>
          <w:p w14:paraId="2A10FAE5" w14:textId="184BF2DF" w:rsidR="00F75DF7" w:rsidRPr="00F75DF7" w:rsidRDefault="005835F8" w:rsidP="00F75DF7">
            <w:pPr>
              <w:jc w:val="center"/>
              <w:rPr>
                <w:rFonts w:ascii="Arial" w:hAnsi="Arial" w:cs="Arial"/>
                <w:b w:val="0"/>
                <w:sz w:val="20"/>
                <w:szCs w:val="20"/>
                <w:lang w:val="es-ES"/>
              </w:rPr>
            </w:pPr>
            <w:r>
              <w:rPr>
                <w:rFonts w:ascii="Arial" w:hAnsi="Arial" w:cs="Arial"/>
                <w:b w:val="0"/>
                <w:sz w:val="20"/>
                <w:szCs w:val="20"/>
                <w:lang w:val="es-ES"/>
              </w:rPr>
              <w:t>1,88</w:t>
            </w:r>
          </w:p>
        </w:tc>
        <w:tc>
          <w:tcPr>
            <w:tcW w:w="1594" w:type="dxa"/>
            <w:vAlign w:val="center"/>
          </w:tcPr>
          <w:p w14:paraId="6875F29D" w14:textId="5E8F7CC5" w:rsidR="00F75DF7" w:rsidRPr="00F75DF7" w:rsidRDefault="005835F8" w:rsidP="00F75DF7">
            <w:pPr>
              <w:jc w:val="center"/>
              <w:rPr>
                <w:rFonts w:ascii="Arial" w:hAnsi="Arial" w:cs="Arial"/>
                <w:b w:val="0"/>
                <w:sz w:val="20"/>
                <w:szCs w:val="20"/>
                <w:lang w:val="es-ES"/>
              </w:rPr>
            </w:pPr>
            <w:r>
              <w:rPr>
                <w:rFonts w:ascii="Arial" w:hAnsi="Arial" w:cs="Arial"/>
                <w:b w:val="0"/>
                <w:sz w:val="20"/>
                <w:szCs w:val="20"/>
                <w:lang w:val="es-ES"/>
              </w:rPr>
              <w:t>100,00</w:t>
            </w:r>
          </w:p>
        </w:tc>
      </w:tr>
      <w:tr w:rsidR="00AA3461" w:rsidRPr="00F75DF7" w14:paraId="3B034525" w14:textId="77777777" w:rsidTr="00F75DF7">
        <w:trPr>
          <w:trHeight w:val="170"/>
        </w:trPr>
        <w:tc>
          <w:tcPr>
            <w:tcW w:w="7032" w:type="dxa"/>
            <w:gridSpan w:val="3"/>
            <w:vAlign w:val="center"/>
          </w:tcPr>
          <w:p w14:paraId="631AA04C" w14:textId="77777777" w:rsidR="00AA3461" w:rsidRPr="00F75DF7" w:rsidRDefault="00AA3461" w:rsidP="00F75DF7">
            <w:pPr>
              <w:jc w:val="center"/>
              <w:rPr>
                <w:rFonts w:ascii="Arial" w:hAnsi="Arial" w:cs="Arial"/>
                <w:b w:val="0"/>
                <w:sz w:val="20"/>
                <w:szCs w:val="20"/>
                <w:lang w:val="es-ES"/>
              </w:rPr>
            </w:pPr>
            <w:r w:rsidRPr="00F75DF7">
              <w:rPr>
                <w:rFonts w:ascii="Arial" w:hAnsi="Arial" w:cs="Arial"/>
                <w:b w:val="0"/>
                <w:sz w:val="20"/>
                <w:szCs w:val="20"/>
                <w:lang w:val="es-ES"/>
              </w:rPr>
              <w:t>TOTAL</w:t>
            </w:r>
          </w:p>
        </w:tc>
        <w:tc>
          <w:tcPr>
            <w:tcW w:w="1057" w:type="dxa"/>
            <w:vAlign w:val="center"/>
          </w:tcPr>
          <w:p w14:paraId="0F846F49" w14:textId="636E1627" w:rsidR="00AA3461" w:rsidRPr="00F75DF7" w:rsidRDefault="005835F8" w:rsidP="00F75DF7">
            <w:pPr>
              <w:jc w:val="center"/>
              <w:rPr>
                <w:rFonts w:ascii="Arial" w:hAnsi="Arial" w:cs="Arial"/>
                <w:b w:val="0"/>
                <w:sz w:val="20"/>
                <w:szCs w:val="20"/>
                <w:lang w:val="es-ES"/>
              </w:rPr>
            </w:pPr>
            <w:r>
              <w:rPr>
                <w:rFonts w:ascii="Arial" w:hAnsi="Arial" w:cs="Arial"/>
                <w:b w:val="0"/>
                <w:sz w:val="20"/>
                <w:szCs w:val="20"/>
                <w:lang w:val="es-ES"/>
              </w:rPr>
              <w:t>1,88</w:t>
            </w:r>
          </w:p>
        </w:tc>
        <w:tc>
          <w:tcPr>
            <w:tcW w:w="1594" w:type="dxa"/>
            <w:vAlign w:val="center"/>
          </w:tcPr>
          <w:p w14:paraId="66ADF7AB" w14:textId="77777777" w:rsidR="00AA3461" w:rsidRPr="00F75DF7" w:rsidRDefault="00AA3461" w:rsidP="00F75DF7">
            <w:pPr>
              <w:jc w:val="center"/>
              <w:rPr>
                <w:rFonts w:ascii="Arial" w:hAnsi="Arial" w:cs="Arial"/>
                <w:b w:val="0"/>
                <w:sz w:val="20"/>
                <w:szCs w:val="20"/>
                <w:lang w:val="es-ES"/>
              </w:rPr>
            </w:pPr>
            <w:r w:rsidRPr="00F75DF7">
              <w:rPr>
                <w:rFonts w:ascii="Arial" w:hAnsi="Arial" w:cs="Arial"/>
                <w:b w:val="0"/>
                <w:sz w:val="20"/>
                <w:szCs w:val="20"/>
                <w:lang w:val="es-ES"/>
              </w:rPr>
              <w:t>100,00</w:t>
            </w:r>
          </w:p>
        </w:tc>
      </w:tr>
    </w:tbl>
    <w:p w14:paraId="5D1725CA" w14:textId="597944F9" w:rsidR="00C73F24" w:rsidRPr="00654C50" w:rsidRDefault="00C73F24" w:rsidP="00C73F24">
      <w:pPr>
        <w:jc w:val="both"/>
        <w:rPr>
          <w:rFonts w:ascii="Arial" w:hAnsi="Arial" w:cs="Arial"/>
          <w:bCs/>
          <w:sz w:val="16"/>
          <w:szCs w:val="16"/>
          <w:lang w:val="es-ES"/>
        </w:rPr>
      </w:pPr>
      <w:r w:rsidRPr="00654C50">
        <w:rPr>
          <w:rFonts w:ascii="Arial" w:hAnsi="Arial" w:cs="Arial"/>
          <w:bCs/>
          <w:sz w:val="16"/>
          <w:szCs w:val="16"/>
          <w:lang w:val="es-ES"/>
        </w:rPr>
        <w:t xml:space="preserve">Fuente: </w:t>
      </w:r>
      <w:r w:rsidRPr="00654C50">
        <w:rPr>
          <w:rFonts w:ascii="Arial" w:hAnsi="Arial" w:cs="Arial"/>
          <w:b w:val="0"/>
          <w:sz w:val="16"/>
          <w:szCs w:val="16"/>
          <w:lang w:val="es-ES"/>
        </w:rPr>
        <w:t>POMCA Alto Lebrija, consultoría para el ajuste (actualización) del plan de ordenación y manejo de la cuenca hidrográfica Alto Lebrija (código 2319-01), adoptado mediante Resolución CDMB N° 0392 de julio 17 de 2020.</w:t>
      </w:r>
    </w:p>
    <w:p w14:paraId="1FD6AFDD" w14:textId="77777777" w:rsidR="00F84716" w:rsidRDefault="00F84716" w:rsidP="00BA60DD">
      <w:pPr>
        <w:jc w:val="both"/>
        <w:rPr>
          <w:rFonts w:ascii="Arial" w:eastAsiaTheme="minorHAnsi" w:hAnsi="Arial" w:cs="Arial"/>
          <w:b w:val="0"/>
          <w:sz w:val="20"/>
          <w:szCs w:val="20"/>
          <w:lang w:val="es-ES"/>
        </w:rPr>
      </w:pPr>
    </w:p>
    <w:p w14:paraId="712717A3" w14:textId="77777777" w:rsidR="00F84716" w:rsidRDefault="00F84716" w:rsidP="00BA60DD">
      <w:pPr>
        <w:jc w:val="both"/>
        <w:rPr>
          <w:rFonts w:ascii="Arial" w:eastAsiaTheme="minorHAnsi" w:hAnsi="Arial" w:cs="Arial"/>
          <w:b w:val="0"/>
          <w:sz w:val="20"/>
          <w:szCs w:val="20"/>
          <w:lang w:val="es-ES"/>
        </w:rPr>
      </w:pPr>
    </w:p>
    <w:tbl>
      <w:tblPr>
        <w:tblStyle w:val="Tablaconcuadrcula"/>
        <w:tblW w:w="0" w:type="auto"/>
        <w:jc w:val="center"/>
        <w:tblCellMar>
          <w:top w:w="57" w:type="dxa"/>
          <w:left w:w="57" w:type="dxa"/>
          <w:bottom w:w="57" w:type="dxa"/>
          <w:right w:w="57" w:type="dxa"/>
        </w:tblCellMar>
        <w:tblLook w:val="04A0" w:firstRow="1" w:lastRow="0" w:firstColumn="1" w:lastColumn="0" w:noHBand="0" w:noVBand="1"/>
      </w:tblPr>
      <w:tblGrid>
        <w:gridCol w:w="8828"/>
      </w:tblGrid>
      <w:tr w:rsidR="00F84716" w:rsidRPr="00F84716" w14:paraId="3274C10C" w14:textId="77777777" w:rsidTr="00F84716">
        <w:trPr>
          <w:trHeight w:val="284"/>
          <w:jc w:val="center"/>
        </w:trPr>
        <w:tc>
          <w:tcPr>
            <w:tcW w:w="8828" w:type="dxa"/>
            <w:vAlign w:val="center"/>
          </w:tcPr>
          <w:bookmarkEnd w:id="0"/>
          <w:p w14:paraId="79A462F1" w14:textId="77777777" w:rsidR="00F84716" w:rsidRPr="00F84716" w:rsidRDefault="00F84716" w:rsidP="003F2A67">
            <w:pPr>
              <w:jc w:val="both"/>
              <w:rPr>
                <w:rFonts w:ascii="Arial" w:hAnsi="Arial" w:cs="Arial"/>
                <w:b w:val="0"/>
              </w:rPr>
            </w:pPr>
            <w:r w:rsidRPr="00F84716">
              <w:rPr>
                <w:rFonts w:ascii="Arial" w:hAnsi="Arial" w:cs="Arial"/>
                <w:b w:val="0"/>
              </w:rPr>
              <w:t>ÁREAS DE AMENAZAS NATURALES</w:t>
            </w:r>
          </w:p>
        </w:tc>
      </w:tr>
      <w:tr w:rsidR="00F84716" w:rsidRPr="00F84716" w14:paraId="13A65B87" w14:textId="77777777" w:rsidTr="00F84716">
        <w:trPr>
          <w:trHeight w:val="284"/>
          <w:jc w:val="center"/>
        </w:trPr>
        <w:tc>
          <w:tcPr>
            <w:tcW w:w="8828" w:type="dxa"/>
            <w:vAlign w:val="center"/>
          </w:tcPr>
          <w:p w14:paraId="441EA8D3" w14:textId="77777777" w:rsidR="00F84716" w:rsidRPr="00F84716" w:rsidRDefault="00F84716" w:rsidP="003F2A67">
            <w:pPr>
              <w:jc w:val="both"/>
              <w:rPr>
                <w:rFonts w:ascii="Arial" w:hAnsi="Arial" w:cs="Arial"/>
                <w:b w:val="0"/>
              </w:rPr>
            </w:pPr>
          </w:p>
          <w:tbl>
            <w:tblPr>
              <w:tblStyle w:val="Tablaconcuadrcula"/>
              <w:tblW w:w="0" w:type="auto"/>
              <w:jc w:val="center"/>
              <w:tblLook w:val="04A0" w:firstRow="1" w:lastRow="0" w:firstColumn="1" w:lastColumn="0" w:noHBand="0" w:noVBand="1"/>
            </w:tblPr>
            <w:tblGrid>
              <w:gridCol w:w="1243"/>
            </w:tblGrid>
            <w:tr w:rsidR="00F84716" w:rsidRPr="00F84716" w14:paraId="0953DD68" w14:textId="77777777" w:rsidTr="003F2A67">
              <w:trPr>
                <w:trHeight w:val="284"/>
                <w:jc w:val="center"/>
              </w:trPr>
              <w:tc>
                <w:tcPr>
                  <w:tcW w:w="1243" w:type="dxa"/>
                  <w:shd w:val="clear" w:color="auto" w:fill="FF0000"/>
                  <w:vAlign w:val="center"/>
                </w:tcPr>
                <w:p w14:paraId="673F7AB8" w14:textId="77777777" w:rsidR="00F84716" w:rsidRPr="00F84716" w:rsidRDefault="00F84716" w:rsidP="003F2A67">
                  <w:pPr>
                    <w:jc w:val="center"/>
                    <w:rPr>
                      <w:rFonts w:ascii="Arial" w:hAnsi="Arial" w:cs="Arial"/>
                      <w:b w:val="0"/>
                      <w:color w:val="FFFFFF" w:themeColor="background1"/>
                    </w:rPr>
                  </w:pPr>
                  <w:r w:rsidRPr="00F84716">
                    <w:rPr>
                      <w:rFonts w:ascii="Arial" w:hAnsi="Arial" w:cs="Arial"/>
                      <w:b w:val="0"/>
                      <w:color w:val="FFFFFF" w:themeColor="background1"/>
                    </w:rPr>
                    <w:t>C – 28</w:t>
                  </w:r>
                </w:p>
              </w:tc>
            </w:tr>
          </w:tbl>
          <w:p w14:paraId="71619C38" w14:textId="77777777" w:rsidR="00F84716" w:rsidRPr="00F84716" w:rsidRDefault="00F84716" w:rsidP="003F2A67">
            <w:pPr>
              <w:jc w:val="both"/>
              <w:rPr>
                <w:rFonts w:ascii="Arial" w:hAnsi="Arial" w:cs="Arial"/>
                <w:b w:val="0"/>
              </w:rPr>
            </w:pPr>
          </w:p>
          <w:p w14:paraId="48B30E73" w14:textId="77777777" w:rsidR="00F84716" w:rsidRPr="00F84716" w:rsidRDefault="00F84716" w:rsidP="003F2A67">
            <w:pPr>
              <w:jc w:val="both"/>
              <w:rPr>
                <w:rFonts w:ascii="Arial" w:hAnsi="Arial" w:cs="Arial"/>
                <w:b w:val="0"/>
              </w:rPr>
            </w:pPr>
            <w:r w:rsidRPr="00F84716">
              <w:rPr>
                <w:rFonts w:ascii="Arial" w:hAnsi="Arial" w:cs="Arial"/>
                <w:b w:val="0"/>
              </w:rPr>
              <w:t>Para la elaboración de la zonificación ambiental para esta cuenca se tomó como referencia la metodología indicada en la Guía Técnica para la Formulación de los Planes de Ordenación y Manejo de Cuencas Hidrográficas propuesta por el Ministerio del Medio Ambiente del año 2014, dentro de la cual, en el “</w:t>
            </w:r>
            <w:r w:rsidRPr="00F84716">
              <w:rPr>
                <w:rFonts w:ascii="Arial" w:hAnsi="Arial" w:cs="Arial"/>
                <w:b w:val="0"/>
                <w:i/>
                <w:iCs/>
              </w:rPr>
              <w:t>Paso 4: validación de usos de acuerdo a las amenazas naturales</w:t>
            </w:r>
            <w:r w:rsidRPr="00F84716">
              <w:rPr>
                <w:rFonts w:ascii="Arial" w:hAnsi="Arial" w:cs="Arial"/>
                <w:b w:val="0"/>
              </w:rPr>
              <w:t>”, en el cual la zonificación de los anteriores pasos señalados en la guía del MADS se contrasta con la calificación del grado de amenaza natural (Movimientos en Masa, Avenidas Torrenciales e Inundaciones) con el fin de validar o definir una nueva categoría de uso de la tierra. Así, los insumos principales son la capa cartográfica del paso 3 y la cartografía por tipo de amenaza calificada con sus respectivos niveles de amenaza.</w:t>
            </w:r>
          </w:p>
          <w:p w14:paraId="183E203B" w14:textId="77777777" w:rsidR="00F84716" w:rsidRPr="00F84716" w:rsidRDefault="00F84716" w:rsidP="003F2A67">
            <w:pPr>
              <w:jc w:val="both"/>
              <w:rPr>
                <w:rFonts w:ascii="Arial" w:hAnsi="Arial" w:cs="Arial"/>
                <w:b w:val="0"/>
              </w:rPr>
            </w:pPr>
          </w:p>
          <w:p w14:paraId="226731BB" w14:textId="77777777" w:rsidR="00F84716" w:rsidRPr="00F84716" w:rsidRDefault="00F84716" w:rsidP="003F2A67">
            <w:pPr>
              <w:jc w:val="both"/>
              <w:rPr>
                <w:rFonts w:ascii="Arial" w:hAnsi="Arial" w:cs="Arial"/>
                <w:b w:val="0"/>
              </w:rPr>
            </w:pPr>
            <w:r w:rsidRPr="00F84716">
              <w:rPr>
                <w:rFonts w:ascii="Arial" w:hAnsi="Arial" w:cs="Arial"/>
                <w:b w:val="0"/>
              </w:rPr>
              <w:t xml:space="preserve">En el ítem </w:t>
            </w:r>
            <w:r w:rsidRPr="00F84716">
              <w:rPr>
                <w:rFonts w:ascii="Arial" w:hAnsi="Arial" w:cs="Arial"/>
                <w:b w:val="0"/>
                <w:i/>
                <w:iCs/>
              </w:rPr>
              <w:t>5.1.5. Paso 4: validación de usos de acuerdo a las amenazas naturales</w:t>
            </w:r>
            <w:r w:rsidRPr="00F84716">
              <w:rPr>
                <w:rFonts w:ascii="Arial" w:hAnsi="Arial" w:cs="Arial"/>
                <w:b w:val="0"/>
              </w:rPr>
              <w:t xml:space="preserve"> del documento de prospectiva y zonificación del POMCA Alto Lebrija se tuvieron en cuenta las amenazas naturales por movimientos en masa, inundaciones en zonas priorizadas y avenidas torrenciales y se escogieron escenarios críticos para su validación. De acuerdo con la metodología las áreas que presentan algún tipo de amenaza Alta fueron recategorizadas en la categoría de Conservación y Protección como Áreas de Amenazas y para determinar las zonas donde los usos podrían quedar condicionados o restringidos se tomaron áreas de amenaza Media. Los usos en zonas de amenazas bajas se validan como vienen del paso anterior. Como resultado del cruce se presenta dentro del estudio la matriz con la validación.</w:t>
            </w:r>
          </w:p>
          <w:p w14:paraId="6BEB928C" w14:textId="77777777" w:rsidR="00F84716" w:rsidRPr="00F84716" w:rsidRDefault="00F84716" w:rsidP="003F2A67">
            <w:pPr>
              <w:jc w:val="both"/>
              <w:rPr>
                <w:rFonts w:ascii="Arial" w:hAnsi="Arial" w:cs="Arial"/>
                <w:b w:val="0"/>
              </w:rPr>
            </w:pPr>
          </w:p>
          <w:p w14:paraId="4761E6DE" w14:textId="77777777" w:rsidR="00F84716" w:rsidRPr="00F84716" w:rsidRDefault="00F84716" w:rsidP="003F2A67">
            <w:pPr>
              <w:jc w:val="both"/>
              <w:rPr>
                <w:rFonts w:ascii="Arial" w:hAnsi="Arial" w:cs="Arial"/>
                <w:b w:val="0"/>
              </w:rPr>
            </w:pPr>
            <w:r w:rsidRPr="00F84716">
              <w:rPr>
                <w:rFonts w:ascii="Arial" w:hAnsi="Arial" w:cs="Arial"/>
                <w:b w:val="0"/>
              </w:rPr>
              <w:t>De manera adicional, en lo que concierne al proceso de zonificación ambiental del POMCA Alto Lebrija, dentro del estudio se expresa que la “</w:t>
            </w:r>
            <w:r w:rsidRPr="00F84716">
              <w:rPr>
                <w:rFonts w:ascii="Arial" w:hAnsi="Arial" w:cs="Arial"/>
                <w:b w:val="0"/>
                <w:i/>
                <w:iCs/>
              </w:rPr>
              <w:t>validación no tuvo en cuenta las áreas de usos restauración y protección validados por el paso anterior, las cuales se mantienen igual; las Áreas para la conservación y/o recuperación de la naturaleza que se tienen por vocación del suelo, se siguieron revalidando junto con las demás categorías, por lo que a estas se descontaron las áreas con amenaza Alta</w:t>
            </w:r>
            <w:r w:rsidRPr="00F84716">
              <w:rPr>
                <w:rFonts w:ascii="Arial" w:hAnsi="Arial" w:cs="Arial"/>
                <w:b w:val="0"/>
              </w:rPr>
              <w:t>”, que como se muestra en la tabla se incorpora a la Categoría de Áreas de Amenazas Naturales, lo cual implica nuevamente una disminución en las áreas de las otras categorías. en la Figura 76 del documento de prospectiva y zonificación del POMCA Alto Lebrija se presenta la capa resultante de la validación del paso 4.</w:t>
            </w:r>
          </w:p>
          <w:p w14:paraId="11E29C9B" w14:textId="77777777" w:rsidR="00F84716" w:rsidRPr="00F84716" w:rsidRDefault="00F84716" w:rsidP="003F2A67">
            <w:pPr>
              <w:jc w:val="both"/>
              <w:rPr>
                <w:rFonts w:ascii="Arial" w:hAnsi="Arial" w:cs="Arial"/>
                <w:b w:val="0"/>
              </w:rPr>
            </w:pPr>
          </w:p>
          <w:p w14:paraId="3D9EA480" w14:textId="77777777" w:rsidR="00F84716" w:rsidRPr="00F84716" w:rsidRDefault="00F84716" w:rsidP="003F2A67">
            <w:pPr>
              <w:jc w:val="both"/>
              <w:rPr>
                <w:rFonts w:ascii="Arial" w:hAnsi="Arial" w:cs="Arial"/>
                <w:b w:val="0"/>
              </w:rPr>
            </w:pPr>
            <w:r w:rsidRPr="00F84716">
              <w:rPr>
                <w:rFonts w:ascii="Arial" w:hAnsi="Arial" w:cs="Arial"/>
                <w:b w:val="0"/>
              </w:rPr>
              <w:t>Teniendo en cuenta lo anterior en lo que relacionado a la recategorización dentro del proceso de zonificación de las amenazas altas encontradas en el estudio POMCA Alto Lebrija, y con el objeto de presentar de manera más amplia dichas amenazas, a continuación, se señalan los resultados asociados a estas áreas dentro del estudio de gestión de Riesgo del POMCA alto Lebrija antes de su recategorización en el paso 4 de la zonificación señalado la guía POMCAS:</w:t>
            </w:r>
          </w:p>
          <w:p w14:paraId="0A199334" w14:textId="77777777" w:rsidR="00F84716" w:rsidRPr="00F84716" w:rsidRDefault="00F84716" w:rsidP="003F2A67">
            <w:pPr>
              <w:jc w:val="both"/>
              <w:rPr>
                <w:rFonts w:ascii="Arial" w:hAnsi="Arial" w:cs="Arial"/>
                <w:b w:val="0"/>
              </w:rPr>
            </w:pPr>
          </w:p>
          <w:p w14:paraId="1230D70F" w14:textId="77777777" w:rsidR="00F84716" w:rsidRPr="00F84716" w:rsidRDefault="00F84716" w:rsidP="00F84716">
            <w:pPr>
              <w:pStyle w:val="Prrafodelista"/>
              <w:numPr>
                <w:ilvl w:val="0"/>
                <w:numId w:val="14"/>
              </w:numPr>
              <w:jc w:val="both"/>
              <w:rPr>
                <w:rFonts w:ascii="Arial" w:hAnsi="Arial" w:cs="Arial"/>
                <w:b w:val="0"/>
              </w:rPr>
            </w:pPr>
            <w:r w:rsidRPr="00F84716">
              <w:rPr>
                <w:rFonts w:ascii="Arial" w:hAnsi="Arial" w:cs="Arial"/>
                <w:b w:val="0"/>
              </w:rPr>
              <w:t>En relación a la Amenaza por movimientos en masa, el estudio señala en el ítem “</w:t>
            </w:r>
            <w:r w:rsidRPr="00F84716">
              <w:rPr>
                <w:rFonts w:ascii="Arial" w:hAnsi="Arial" w:cs="Arial"/>
                <w:b w:val="0"/>
                <w:i/>
                <w:iCs/>
              </w:rPr>
              <w:t>2.3. Evaluación de la amenaza por movimientos en masa</w:t>
            </w:r>
            <w:r w:rsidRPr="00F84716">
              <w:rPr>
                <w:rFonts w:ascii="Arial" w:hAnsi="Arial" w:cs="Arial"/>
                <w:b w:val="0"/>
              </w:rPr>
              <w:t>”,</w:t>
            </w:r>
            <w:r w:rsidRPr="00F84716">
              <w:rPr>
                <w:rFonts w:ascii="Arial" w:hAnsi="Arial" w:cs="Arial"/>
                <w:b w:val="0"/>
                <w:i/>
                <w:iCs/>
              </w:rPr>
              <w:t xml:space="preserve"> </w:t>
            </w:r>
            <w:r w:rsidRPr="00F84716">
              <w:rPr>
                <w:rFonts w:ascii="Arial" w:hAnsi="Arial" w:cs="Arial"/>
                <w:b w:val="0"/>
              </w:rPr>
              <w:t>lo siguiente:</w:t>
            </w:r>
          </w:p>
          <w:p w14:paraId="76B71185" w14:textId="77777777" w:rsidR="00F84716" w:rsidRPr="00F84716" w:rsidRDefault="00F84716" w:rsidP="003F2A67">
            <w:pPr>
              <w:jc w:val="both"/>
              <w:rPr>
                <w:rFonts w:ascii="Arial" w:hAnsi="Arial" w:cs="Arial"/>
                <w:b w:val="0"/>
              </w:rPr>
            </w:pPr>
          </w:p>
          <w:p w14:paraId="6828088F" w14:textId="77777777" w:rsidR="00F84716" w:rsidRPr="00F84716" w:rsidRDefault="00F84716" w:rsidP="003F2A67">
            <w:pPr>
              <w:jc w:val="both"/>
              <w:rPr>
                <w:rFonts w:ascii="Arial" w:hAnsi="Arial" w:cs="Arial"/>
                <w:b w:val="0"/>
              </w:rPr>
            </w:pPr>
            <w:r w:rsidRPr="00F84716">
              <w:rPr>
                <w:rFonts w:ascii="Arial" w:hAnsi="Arial" w:cs="Arial"/>
                <w:b w:val="0"/>
              </w:rPr>
              <w:t>“</w:t>
            </w:r>
            <w:r w:rsidRPr="00F84716">
              <w:rPr>
                <w:rFonts w:ascii="Arial" w:hAnsi="Arial" w:cs="Arial"/>
                <w:b w:val="0"/>
                <w:i/>
                <w:iCs/>
              </w:rPr>
              <w:t>Para la evaluación de la amenaza por Movimientos en Masa en el área de la cuenca hidrográfica Alto Lebrija, se tomó la metodología sugerida en el Protocolo para la incorporación de la gestión del riesgo en los POMCA, en la cual se establece la evaluación de la amenaza por movimientos en masa mediante el uso de métodos determinísticos con base en el factor de seguridad.</w:t>
            </w:r>
            <w:r w:rsidRPr="00F84716">
              <w:rPr>
                <w:rFonts w:ascii="Arial" w:hAnsi="Arial" w:cs="Arial"/>
                <w:b w:val="0"/>
              </w:rPr>
              <w:t>”</w:t>
            </w:r>
          </w:p>
          <w:p w14:paraId="62DD4FDB" w14:textId="77777777" w:rsidR="00F84716" w:rsidRPr="00F84716" w:rsidRDefault="00F84716" w:rsidP="003F2A67">
            <w:pPr>
              <w:jc w:val="both"/>
              <w:rPr>
                <w:rFonts w:ascii="Arial" w:hAnsi="Arial" w:cs="Arial"/>
                <w:b w:val="0"/>
              </w:rPr>
            </w:pPr>
          </w:p>
          <w:p w14:paraId="5F4D72B4" w14:textId="77777777" w:rsidR="00F84716" w:rsidRPr="00F84716" w:rsidRDefault="00F84716" w:rsidP="003F2A67">
            <w:pPr>
              <w:jc w:val="both"/>
              <w:rPr>
                <w:rFonts w:ascii="Arial" w:hAnsi="Arial" w:cs="Arial"/>
                <w:b w:val="0"/>
              </w:rPr>
            </w:pPr>
            <w:r w:rsidRPr="00F84716">
              <w:rPr>
                <w:rFonts w:ascii="Arial" w:hAnsi="Arial" w:cs="Arial"/>
                <w:b w:val="0"/>
              </w:rPr>
              <w:t>Adicionalmente, con respecto a la Amenaza Alta por Movimientos en Masa, dentro del informe final de gestión de Riesgo del POMCA alto Lebrija se presenta como resultado lo siguiente:</w:t>
            </w:r>
          </w:p>
          <w:p w14:paraId="39363DAE" w14:textId="77777777" w:rsidR="00F84716" w:rsidRPr="00F84716" w:rsidRDefault="00F84716" w:rsidP="003F2A67">
            <w:pPr>
              <w:jc w:val="both"/>
              <w:rPr>
                <w:rFonts w:ascii="Arial" w:hAnsi="Arial" w:cs="Arial"/>
                <w:b w:val="0"/>
              </w:rPr>
            </w:pPr>
          </w:p>
          <w:p w14:paraId="70E91154" w14:textId="77777777" w:rsidR="00F84716" w:rsidRPr="00F84716" w:rsidRDefault="00F84716" w:rsidP="003F2A67">
            <w:pPr>
              <w:jc w:val="both"/>
              <w:rPr>
                <w:rFonts w:ascii="Arial" w:hAnsi="Arial" w:cs="Arial"/>
                <w:b w:val="0"/>
              </w:rPr>
            </w:pPr>
            <w:r w:rsidRPr="00F84716">
              <w:rPr>
                <w:rFonts w:ascii="Arial" w:hAnsi="Arial" w:cs="Arial"/>
                <w:b w:val="0"/>
                <w:i/>
                <w:iCs/>
              </w:rPr>
              <w:lastRenderedPageBreak/>
              <w:t xml:space="preserve">“Amenaza Alta por Movimientos en Masa: </w:t>
            </w:r>
            <w:r w:rsidRPr="00F84716">
              <w:rPr>
                <w:rFonts w:ascii="Arial" w:hAnsi="Arial" w:cs="Arial"/>
                <w:b w:val="0"/>
              </w:rPr>
              <w:t>“</w:t>
            </w:r>
            <w:r w:rsidRPr="00F84716">
              <w:rPr>
                <w:rFonts w:ascii="Arial" w:hAnsi="Arial" w:cs="Arial"/>
                <w:b w:val="0"/>
                <w:i/>
                <w:iCs/>
              </w:rPr>
              <w:t>Corresponde al 28% de la cuenca, asociada a geoformas de origen denudativo – estructural, con procesos asociados a deslizamientos, caídas o reptación, concentrada en los municipios de California, Vetas, Piedecuesta, Tona, Suratá, Rionegro, El Playón, Charta y Bucaramanga principalmente, con tipos de forma como ladera denudada, escarpes de líneas de falla y espolones.</w:t>
            </w:r>
            <w:r w:rsidRPr="00F84716">
              <w:rPr>
                <w:rFonts w:ascii="Arial" w:hAnsi="Arial" w:cs="Arial"/>
                <w:b w:val="0"/>
              </w:rPr>
              <w:t>”</w:t>
            </w:r>
          </w:p>
          <w:p w14:paraId="384AAA8B" w14:textId="77777777" w:rsidR="00F84716" w:rsidRPr="00F84716" w:rsidRDefault="00F84716" w:rsidP="003F2A67">
            <w:pPr>
              <w:jc w:val="both"/>
              <w:rPr>
                <w:rFonts w:ascii="Arial" w:hAnsi="Arial" w:cs="Arial"/>
                <w:b w:val="0"/>
              </w:rPr>
            </w:pPr>
          </w:p>
          <w:p w14:paraId="237D670C" w14:textId="77777777" w:rsidR="00F84716" w:rsidRPr="00F84716" w:rsidRDefault="00F84716" w:rsidP="003F2A67">
            <w:pPr>
              <w:jc w:val="both"/>
              <w:rPr>
                <w:rFonts w:ascii="Arial" w:hAnsi="Arial" w:cs="Arial"/>
                <w:b w:val="0"/>
              </w:rPr>
            </w:pPr>
            <w:r w:rsidRPr="00F84716">
              <w:rPr>
                <w:rFonts w:ascii="Arial" w:hAnsi="Arial" w:cs="Arial"/>
                <w:b w:val="0"/>
              </w:rPr>
              <w:t>Con relación a las recomendaciones para el tema de Amenazas por movimientos en masa se expresa dentro del estudio POMCA lo siguiente:</w:t>
            </w:r>
          </w:p>
          <w:p w14:paraId="1CE6F4F4" w14:textId="77777777" w:rsidR="00F84716" w:rsidRPr="00F84716" w:rsidRDefault="00F84716" w:rsidP="003F2A67">
            <w:pPr>
              <w:jc w:val="both"/>
              <w:rPr>
                <w:rFonts w:ascii="Arial" w:hAnsi="Arial" w:cs="Arial"/>
                <w:b w:val="0"/>
              </w:rPr>
            </w:pPr>
          </w:p>
          <w:p w14:paraId="634FF3F4" w14:textId="77777777" w:rsidR="00F84716" w:rsidRPr="00F84716" w:rsidRDefault="00F84716" w:rsidP="003F2A67">
            <w:pPr>
              <w:jc w:val="both"/>
              <w:rPr>
                <w:rFonts w:ascii="Arial" w:hAnsi="Arial" w:cs="Arial"/>
                <w:b w:val="0"/>
                <w:i/>
                <w:iCs/>
              </w:rPr>
            </w:pPr>
            <w:r w:rsidRPr="00F84716">
              <w:rPr>
                <w:rFonts w:ascii="Arial" w:hAnsi="Arial" w:cs="Arial"/>
                <w:b w:val="0"/>
                <w:i/>
                <w:iCs/>
              </w:rPr>
              <w:t>“2.2 Recomendaciones: De acuerdo a la categorización de amenaza por movimientos en masa dentro de la Cuenca Hidrográfica de Alto Lebrija, es necesario tener en cuenta recomendaciones que permitan priorizar las zonas con calificaciones de amenaza alta. Tales recomendaciones incluyen obras de mitigación, contención  y estabilización de taludes sobre las vías que comunican los municipios y veredas más afectados de la cuenca, cuyos eventos de movimientos en masa registrados como activos se asocian con zonas de alta pendiente, estructuralmente falladas, expuestas a fuertes procesos erosivos y que desencadenan principalmente en deslizamientos sobre la vías de El Volcán en la Vereda Centro en Vetas, Bucaramanga-Rionegro, sobre el Km 12 en la vía Tona, vereda El Pantano y sobre la vía Conchal-Barranca en la vereda Chingua; caídas de rocas sobre las Vías de El Salado-Chopó Alto en la Vereda El Salado, Páramo Rico-Charta en La Chorrera y en la vereda Guayabito; flujos de detritos en la Vereda La Esmeralda, y en el municipio de Tona; flujos de tierras en  la vereda San Pedro Bajo; y caídas de tierras sobre la vía que comunica a Bucaramanga con Matanza.</w:t>
            </w:r>
          </w:p>
          <w:p w14:paraId="0D4EC424" w14:textId="77777777" w:rsidR="00F84716" w:rsidRPr="00F84716" w:rsidRDefault="00F84716" w:rsidP="003F2A67">
            <w:pPr>
              <w:jc w:val="both"/>
              <w:rPr>
                <w:rFonts w:ascii="Arial" w:hAnsi="Arial" w:cs="Arial"/>
                <w:b w:val="0"/>
                <w:i/>
                <w:iCs/>
              </w:rPr>
            </w:pPr>
          </w:p>
          <w:p w14:paraId="21C74D28" w14:textId="77777777" w:rsidR="00F84716" w:rsidRPr="00F84716" w:rsidRDefault="00F84716" w:rsidP="003F2A67">
            <w:pPr>
              <w:jc w:val="both"/>
              <w:rPr>
                <w:rFonts w:ascii="Arial" w:hAnsi="Arial" w:cs="Arial"/>
                <w:b w:val="0"/>
                <w:i/>
                <w:iCs/>
              </w:rPr>
            </w:pPr>
            <w:r w:rsidRPr="00F84716">
              <w:rPr>
                <w:rFonts w:ascii="Arial" w:hAnsi="Arial" w:cs="Arial"/>
                <w:b w:val="0"/>
                <w:i/>
                <w:iCs/>
              </w:rPr>
              <w:t>En la cuenca hidrográfica Alto Lebrija a partir de las temáticas geología y geomorfología no se presentan áreas de deposición cartografiables a la escala de trabajo (1:25.000), sin embargo, a partir de las condiciones de amenaza alta y media es probable la incidencia de estos eventos a la presencia de zonas deposicionales características de este tipo de fenómeno.</w:t>
            </w:r>
            <w:r w:rsidRPr="00F84716">
              <w:rPr>
                <w:rFonts w:ascii="Arial" w:hAnsi="Arial" w:cs="Arial"/>
                <w:b w:val="0"/>
              </w:rPr>
              <w:t>”</w:t>
            </w:r>
          </w:p>
          <w:p w14:paraId="54F9CD7E" w14:textId="77777777" w:rsidR="00F84716" w:rsidRPr="00F84716" w:rsidRDefault="00F84716" w:rsidP="003F2A67">
            <w:pPr>
              <w:jc w:val="both"/>
              <w:rPr>
                <w:rFonts w:ascii="Arial" w:hAnsi="Arial" w:cs="Arial"/>
                <w:b w:val="0"/>
              </w:rPr>
            </w:pPr>
          </w:p>
          <w:p w14:paraId="0E4D2C13" w14:textId="77777777" w:rsidR="00F84716" w:rsidRPr="00F84716" w:rsidRDefault="00F84716" w:rsidP="00F84716">
            <w:pPr>
              <w:pStyle w:val="Prrafodelista"/>
              <w:numPr>
                <w:ilvl w:val="0"/>
                <w:numId w:val="14"/>
              </w:numPr>
              <w:jc w:val="both"/>
              <w:rPr>
                <w:rFonts w:ascii="Arial" w:hAnsi="Arial" w:cs="Arial"/>
                <w:bCs/>
                <w:u w:val="single"/>
              </w:rPr>
            </w:pPr>
            <w:r w:rsidRPr="00F84716">
              <w:rPr>
                <w:rFonts w:ascii="Arial" w:hAnsi="Arial" w:cs="Arial"/>
                <w:bCs/>
                <w:u w:val="single"/>
              </w:rPr>
              <w:t>Con respecto a la Amenaza por inundaciones, el estudio señala en el ítem “</w:t>
            </w:r>
            <w:r w:rsidRPr="00F84716">
              <w:rPr>
                <w:rFonts w:ascii="Arial" w:hAnsi="Arial" w:cs="Arial"/>
                <w:bCs/>
                <w:i/>
                <w:iCs/>
                <w:u w:val="single"/>
              </w:rPr>
              <w:t>3.2.1. Metodología de la amenaza por inundaciones</w:t>
            </w:r>
            <w:r w:rsidRPr="00F84716">
              <w:rPr>
                <w:rFonts w:ascii="Arial" w:hAnsi="Arial" w:cs="Arial"/>
                <w:bCs/>
                <w:u w:val="single"/>
              </w:rPr>
              <w:t>”, lo siguiente:</w:t>
            </w:r>
          </w:p>
          <w:p w14:paraId="41A08B73" w14:textId="77777777" w:rsidR="00F84716" w:rsidRPr="00F84716" w:rsidRDefault="00F84716" w:rsidP="003F2A67">
            <w:pPr>
              <w:jc w:val="both"/>
              <w:rPr>
                <w:rFonts w:ascii="Arial" w:hAnsi="Arial" w:cs="Arial"/>
                <w:bCs/>
                <w:u w:val="single"/>
              </w:rPr>
            </w:pPr>
          </w:p>
          <w:p w14:paraId="47129D9C" w14:textId="77777777" w:rsidR="00F84716" w:rsidRPr="00F84716" w:rsidRDefault="00F84716" w:rsidP="003F2A67">
            <w:pPr>
              <w:jc w:val="both"/>
              <w:rPr>
                <w:rFonts w:ascii="Arial" w:hAnsi="Arial" w:cs="Arial"/>
                <w:bCs/>
                <w:u w:val="single"/>
              </w:rPr>
            </w:pPr>
            <w:r w:rsidRPr="00F84716">
              <w:rPr>
                <w:rFonts w:ascii="Arial" w:hAnsi="Arial" w:cs="Arial"/>
                <w:bCs/>
                <w:u w:val="single"/>
              </w:rPr>
              <w:t>“</w:t>
            </w:r>
            <w:r w:rsidRPr="00F84716">
              <w:rPr>
                <w:rFonts w:ascii="Arial" w:hAnsi="Arial" w:cs="Arial"/>
                <w:bCs/>
                <w:i/>
                <w:iCs/>
                <w:u w:val="single"/>
              </w:rPr>
              <w:t xml:space="preserve">Para la zonificación de la amenaza por inundaciones no se contó con un modelo hidráulico como se establece en el protocolo para la incorporación de la gestión del riesgo en los planes de ordenación y manejo de cuencas hidrográficas POMCA, “en el caso de no existir información topográfica y batimétrica de detalle que permitan una adecuada evaluación de la amenaza se deberán proponer estudios de detalle en el componente programático del POMCA”; para este estudio la base topográfica es la del IGAC a escala 1: 25.000, la cual no cuenta con el suficiente detalle para realización del modelamiento hidrológico-hidráulico (escala 1:1000); por lo que siguiendo lo establecido en la guía se procede solo con la evaluación de la amenaza con el análisis de susceptibilidad en las zonas con categoría media y alta, la ocurrencia de eventos incluidos en el catálogo de eventos históricos y la inclusión </w:t>
            </w:r>
            <w:r w:rsidRPr="00F84716">
              <w:rPr>
                <w:rFonts w:ascii="Arial" w:hAnsi="Arial" w:cs="Arial"/>
                <w:bCs/>
                <w:i/>
                <w:iCs/>
                <w:u w:val="single"/>
              </w:rPr>
              <w:lastRenderedPageBreak/>
              <w:t>del análisis del detonante principal que son las precipitaciones con un análisis de los periodos de retorno y de la altura de la lámina de agua caracterizando la capacidad del suelo para retener agua o no, Figura 77.</w:t>
            </w:r>
            <w:r w:rsidRPr="00F84716">
              <w:rPr>
                <w:rFonts w:ascii="Arial" w:hAnsi="Arial" w:cs="Arial"/>
                <w:bCs/>
                <w:u w:val="single"/>
              </w:rPr>
              <w:t>”.</w:t>
            </w:r>
          </w:p>
          <w:p w14:paraId="3035338D" w14:textId="77777777" w:rsidR="00F84716" w:rsidRPr="00F84716" w:rsidRDefault="00F84716" w:rsidP="003F2A67">
            <w:pPr>
              <w:jc w:val="both"/>
              <w:rPr>
                <w:rFonts w:ascii="Arial" w:hAnsi="Arial" w:cs="Arial"/>
                <w:bCs/>
                <w:u w:val="single"/>
              </w:rPr>
            </w:pPr>
          </w:p>
          <w:p w14:paraId="040785D0" w14:textId="77777777" w:rsidR="00F84716" w:rsidRPr="00F84716" w:rsidRDefault="00F84716" w:rsidP="003F2A67">
            <w:pPr>
              <w:jc w:val="both"/>
              <w:rPr>
                <w:rFonts w:ascii="Arial" w:hAnsi="Arial" w:cs="Arial"/>
                <w:bCs/>
                <w:u w:val="single"/>
              </w:rPr>
            </w:pPr>
            <w:r w:rsidRPr="00F84716">
              <w:rPr>
                <w:rFonts w:ascii="Arial" w:hAnsi="Arial" w:cs="Arial"/>
                <w:bCs/>
                <w:u w:val="single"/>
              </w:rPr>
              <w:t>Adicionalmente, con respecto a la Amenaza Alta por Inundaciones, dentro del informe final de gestión de Riesgo del POMCA alto Lebrija se presenta como resultado lo siguiente:</w:t>
            </w:r>
          </w:p>
          <w:p w14:paraId="2FA52B05" w14:textId="77777777" w:rsidR="00F84716" w:rsidRPr="00F84716" w:rsidRDefault="00F84716" w:rsidP="003F2A67">
            <w:pPr>
              <w:jc w:val="both"/>
              <w:rPr>
                <w:rFonts w:ascii="Arial" w:hAnsi="Arial" w:cs="Arial"/>
                <w:bCs/>
                <w:u w:val="single"/>
              </w:rPr>
            </w:pPr>
          </w:p>
          <w:p w14:paraId="6E7029F8" w14:textId="39123BFF" w:rsidR="00F84716" w:rsidRPr="00F84716" w:rsidRDefault="00F84716" w:rsidP="003F2A67">
            <w:pPr>
              <w:jc w:val="both"/>
              <w:rPr>
                <w:rFonts w:ascii="Arial" w:hAnsi="Arial" w:cs="Arial"/>
                <w:bCs/>
                <w:u w:val="single"/>
              </w:rPr>
            </w:pPr>
            <w:r w:rsidRPr="00F84716">
              <w:rPr>
                <w:rFonts w:ascii="Arial" w:hAnsi="Arial" w:cs="Arial"/>
                <w:bCs/>
                <w:u w:val="single"/>
              </w:rPr>
              <w:t>“</w:t>
            </w:r>
            <w:r w:rsidRPr="00F84716">
              <w:rPr>
                <w:rFonts w:ascii="Arial" w:hAnsi="Arial" w:cs="Arial"/>
                <w:bCs/>
                <w:i/>
                <w:iCs/>
                <w:u w:val="single"/>
              </w:rPr>
              <w:t>Amenaza Alta: En los municipios de Tona, Surata, Rionegro, Piedecuesta, Matanza, Lebrija, Girón, Floridablanca, Charta y Bucaramanga tenemos amenaza alta ante inundaciones en sectores que se caracterizan por tener pendientes suavemente inclinadas (&lt;5°) a planas, topográficamente bajas y generalmente ubicadas aledañas a los cauces, desarrolladas sobre geoformas de tipo aluvial como son las llanuras de inundaciones y t</w:t>
            </w:r>
            <w:r>
              <w:rPr>
                <w:rFonts w:ascii="Arial" w:hAnsi="Arial" w:cs="Arial"/>
                <w:bCs/>
                <w:i/>
                <w:iCs/>
                <w:u w:val="single"/>
              </w:rPr>
              <w:t>i</w:t>
            </w:r>
            <w:r w:rsidRPr="00F84716">
              <w:rPr>
                <w:rFonts w:ascii="Arial" w:hAnsi="Arial" w:cs="Arial"/>
                <w:bCs/>
                <w:i/>
                <w:iCs/>
                <w:u w:val="single"/>
              </w:rPr>
              <w:t>erras aluviales, las cuales presentan una probabilidad alta a inundarse, y se caracterizan por ser depósitos aluviales de granulometría fina. Del área total de la Cuenca Hidrográfica Alto Lebrija corresponde al 3%, principalmente en el río de Oro en el municipio de Girón y en los cauces actuales de los ríos Lebrija, Salamaga, Oro, El Hato, Suratá y Tona, en los municipios de Rionegro, Floridablanca, Tona, Charta y Suratá.</w:t>
            </w:r>
            <w:r w:rsidRPr="00F84716">
              <w:rPr>
                <w:rFonts w:ascii="Arial" w:hAnsi="Arial" w:cs="Arial"/>
                <w:bCs/>
                <w:u w:val="single"/>
              </w:rPr>
              <w:t>”</w:t>
            </w:r>
          </w:p>
          <w:p w14:paraId="6006F00D" w14:textId="77777777" w:rsidR="00F84716" w:rsidRPr="00F84716" w:rsidRDefault="00F84716" w:rsidP="003F2A67">
            <w:pPr>
              <w:jc w:val="both"/>
              <w:rPr>
                <w:rFonts w:ascii="Arial" w:hAnsi="Arial" w:cs="Arial"/>
                <w:bCs/>
                <w:u w:val="single"/>
              </w:rPr>
            </w:pPr>
          </w:p>
          <w:p w14:paraId="0533FE5D" w14:textId="77777777" w:rsidR="00F84716" w:rsidRPr="00F84716" w:rsidRDefault="00F84716" w:rsidP="003F2A67">
            <w:pPr>
              <w:jc w:val="both"/>
              <w:rPr>
                <w:rFonts w:ascii="Arial" w:hAnsi="Arial" w:cs="Arial"/>
                <w:bCs/>
                <w:u w:val="single"/>
              </w:rPr>
            </w:pPr>
            <w:r w:rsidRPr="00F84716">
              <w:rPr>
                <w:rFonts w:ascii="Arial" w:hAnsi="Arial" w:cs="Arial"/>
                <w:bCs/>
                <w:u w:val="single"/>
              </w:rPr>
              <w:t>Con relación a las recomendaciones para el tema de Amenazas por inundaciones se expresa dentro del estudio POMCA lo siguiente:</w:t>
            </w:r>
          </w:p>
          <w:p w14:paraId="36B1EEE2" w14:textId="77777777" w:rsidR="00F84716" w:rsidRPr="00F84716" w:rsidRDefault="00F84716" w:rsidP="003F2A67">
            <w:pPr>
              <w:jc w:val="both"/>
              <w:rPr>
                <w:rFonts w:ascii="Arial" w:hAnsi="Arial" w:cs="Arial"/>
                <w:bCs/>
                <w:u w:val="single"/>
              </w:rPr>
            </w:pPr>
          </w:p>
          <w:p w14:paraId="6326174F" w14:textId="77777777" w:rsidR="00F84716" w:rsidRPr="00F84716" w:rsidRDefault="00F84716" w:rsidP="003F2A67">
            <w:pPr>
              <w:jc w:val="both"/>
              <w:rPr>
                <w:rFonts w:ascii="Arial" w:hAnsi="Arial" w:cs="Arial"/>
                <w:bCs/>
                <w:i/>
                <w:iCs/>
                <w:u w:val="single"/>
              </w:rPr>
            </w:pPr>
            <w:r w:rsidRPr="00F84716">
              <w:rPr>
                <w:rFonts w:ascii="Arial" w:hAnsi="Arial" w:cs="Arial"/>
                <w:bCs/>
                <w:u w:val="single"/>
              </w:rPr>
              <w:t>“</w:t>
            </w:r>
            <w:r w:rsidRPr="00F84716">
              <w:rPr>
                <w:rFonts w:ascii="Arial" w:hAnsi="Arial" w:cs="Arial"/>
                <w:bCs/>
                <w:i/>
                <w:iCs/>
                <w:u w:val="single"/>
              </w:rPr>
              <w:t>3.2.2.4 Identificación de necesidad de información y recomendaciones.: El reporte de eventos históricos para la Cuenca  Hidrográfica Alto Lebrija demuestra que los problemas de amenaza provocados por inundaciones presentan fuertes antecedentes en los municipios de Bucaramanga, California, El Playón, Floridablanca, Girón, Lebrija, Matanza, Piedecuesta, Rionegro, Suratá y Tona, donde los desbordamientos del Rio de Oro, Río Frío y la Quebrada Samacá son los más repetitivos; resaltando también algunos eventos asociados por los desbordamientos de los ríos Suratá, Sogamoso, Lebrija y Tona.</w:t>
            </w:r>
          </w:p>
          <w:p w14:paraId="47592F47" w14:textId="77777777" w:rsidR="00F84716" w:rsidRPr="00F84716" w:rsidRDefault="00F84716" w:rsidP="003F2A67">
            <w:pPr>
              <w:jc w:val="both"/>
              <w:rPr>
                <w:rFonts w:ascii="Arial" w:hAnsi="Arial" w:cs="Arial"/>
                <w:bCs/>
                <w:i/>
                <w:iCs/>
                <w:u w:val="single"/>
              </w:rPr>
            </w:pPr>
          </w:p>
          <w:p w14:paraId="4377A11E" w14:textId="77777777" w:rsidR="00F84716" w:rsidRPr="00F84716" w:rsidRDefault="00F84716" w:rsidP="003F2A67">
            <w:pPr>
              <w:jc w:val="both"/>
              <w:rPr>
                <w:rFonts w:ascii="Arial" w:hAnsi="Arial" w:cs="Arial"/>
                <w:bCs/>
                <w:u w:val="single"/>
              </w:rPr>
            </w:pPr>
            <w:r w:rsidRPr="00F84716">
              <w:rPr>
                <w:rFonts w:ascii="Arial" w:hAnsi="Arial" w:cs="Arial"/>
                <w:bCs/>
                <w:i/>
                <w:iCs/>
                <w:u w:val="single"/>
              </w:rPr>
              <w:t xml:space="preserve">Los sectores de la cuenca categorizados con calificación de amenaza por inundaciones alta pertenecen a los sectores cercanos al curso del Río de Oro (Bucaramanga, Girón, Piedecuesta), el Río Frio (Floridablanca y Piedecuesta, el Río Hato (Piedecuesta), el Río Suratá (Suratá, Charta y Matanza), el Río Tona y el Río Lebrija, junto con las quebradas que confluyen en ellos. Por tal motivo es importante tener en cuenta que en épocas invernales aumenta el cauce de los ríos, y es indispensable crear planes de contingencia que permitan identificar y monitorear este tipo de amenazas mediante alertas tempranas con el objetivo de evitar las pérdidas humanas, ambientales y económicas. También es importante resaltar que es necesaria la realización de un reasentamiento urbano (como mínimo a 30 metros del cauce de los ríos de Oro, Río Frio, Suratá, Tona, El Hato y Lebrija) además de la recuperación ambiental y reforestación de las zonas que hayan sido afectadas por </w:t>
            </w:r>
            <w:r w:rsidRPr="00F84716">
              <w:rPr>
                <w:rFonts w:ascii="Arial" w:hAnsi="Arial" w:cs="Arial"/>
                <w:bCs/>
                <w:i/>
                <w:iCs/>
                <w:u w:val="single"/>
              </w:rPr>
              <w:lastRenderedPageBreak/>
              <w:t>este tipo de fenómenos como es el caso de Río de Oro en Girón. La realización de estudios previos a escalas más detalladas que incluyan como mínimo inventarios de inundaciones en los cauces que forman parte de la cuenca, topografía y batimetría de detalle, insumos necesarios para modelaciones hidrodinámicas y de capacidad hidráulica de la red de drenaje en los cauces de los Ríos de Oro, Río Frío, El Hato, Suratá, Tona y Lebrija que permitan delimitar con mayor precisión el área de influencia.</w:t>
            </w:r>
            <w:r w:rsidRPr="00F84716">
              <w:rPr>
                <w:rFonts w:ascii="Arial" w:hAnsi="Arial" w:cs="Arial"/>
                <w:bCs/>
                <w:u w:val="single"/>
              </w:rPr>
              <w:t>”.</w:t>
            </w:r>
          </w:p>
          <w:p w14:paraId="6BDDB603" w14:textId="77777777" w:rsidR="00F84716" w:rsidRPr="00F84716" w:rsidRDefault="00F84716" w:rsidP="003F2A67">
            <w:pPr>
              <w:jc w:val="both"/>
              <w:rPr>
                <w:rFonts w:ascii="Arial" w:hAnsi="Arial" w:cs="Arial"/>
                <w:b w:val="0"/>
              </w:rPr>
            </w:pPr>
          </w:p>
          <w:p w14:paraId="339C8B60" w14:textId="77777777" w:rsidR="00F84716" w:rsidRPr="00F84716" w:rsidRDefault="00F84716" w:rsidP="00F84716">
            <w:pPr>
              <w:pStyle w:val="Prrafodelista"/>
              <w:numPr>
                <w:ilvl w:val="0"/>
                <w:numId w:val="14"/>
              </w:numPr>
              <w:jc w:val="both"/>
              <w:rPr>
                <w:rFonts w:ascii="Arial" w:hAnsi="Arial" w:cs="Arial"/>
                <w:b w:val="0"/>
              </w:rPr>
            </w:pPr>
            <w:r w:rsidRPr="00F84716">
              <w:rPr>
                <w:rFonts w:ascii="Arial" w:hAnsi="Arial" w:cs="Arial"/>
                <w:b w:val="0"/>
              </w:rPr>
              <w:t>Con respecto a la Amenaza por Avenidas Torrenciales, el estudio señala en el ítem “</w:t>
            </w:r>
            <w:r w:rsidRPr="00F84716">
              <w:rPr>
                <w:rFonts w:ascii="Arial" w:hAnsi="Arial" w:cs="Arial"/>
                <w:b w:val="0"/>
                <w:i/>
                <w:iCs/>
              </w:rPr>
              <w:t>5.2. Amenaza por avenidas torrenciales</w:t>
            </w:r>
            <w:r w:rsidRPr="00F84716">
              <w:rPr>
                <w:rFonts w:ascii="Arial" w:hAnsi="Arial" w:cs="Arial"/>
                <w:b w:val="0"/>
              </w:rPr>
              <w:t>”, lo siguiente:</w:t>
            </w:r>
          </w:p>
          <w:p w14:paraId="179BA623" w14:textId="77777777" w:rsidR="00F84716" w:rsidRPr="00F84716" w:rsidRDefault="00F84716" w:rsidP="003F2A67">
            <w:pPr>
              <w:jc w:val="both"/>
              <w:rPr>
                <w:rFonts w:ascii="Arial" w:hAnsi="Arial" w:cs="Arial"/>
                <w:b w:val="0"/>
              </w:rPr>
            </w:pPr>
          </w:p>
          <w:p w14:paraId="49415266" w14:textId="77777777" w:rsidR="00F84716" w:rsidRPr="00F84716" w:rsidRDefault="00F84716" w:rsidP="003F2A67">
            <w:pPr>
              <w:jc w:val="both"/>
              <w:rPr>
                <w:rFonts w:ascii="Arial" w:hAnsi="Arial" w:cs="Arial"/>
                <w:b w:val="0"/>
                <w:i/>
                <w:iCs/>
              </w:rPr>
            </w:pPr>
            <w:r w:rsidRPr="00F84716">
              <w:rPr>
                <w:rFonts w:ascii="Arial" w:hAnsi="Arial" w:cs="Arial"/>
                <w:b w:val="0"/>
              </w:rPr>
              <w:t>“</w:t>
            </w:r>
            <w:r w:rsidRPr="00F84716">
              <w:rPr>
                <w:rFonts w:ascii="Arial" w:hAnsi="Arial" w:cs="Arial"/>
                <w:b w:val="0"/>
                <w:i/>
                <w:iCs/>
              </w:rPr>
              <w:t>Para las áreas críticas definidas en la evaluación de la susceptibilidad por avenidas torrenciales, la caracterización se realiza a partir del trabajo de campo donde se asignaron categorías de amenaza integrándolas con el análisis de eventos históricos y los parámetros morfométricos para la Cuenca Hidrográfica Alto Lebrija siguiendo lo establecido en la Figura 119.</w:t>
            </w:r>
          </w:p>
          <w:p w14:paraId="6A02EA0B" w14:textId="77777777" w:rsidR="00F84716" w:rsidRPr="00F84716" w:rsidRDefault="00F84716" w:rsidP="003F2A67">
            <w:pPr>
              <w:jc w:val="both"/>
              <w:rPr>
                <w:rFonts w:ascii="Arial" w:hAnsi="Arial" w:cs="Arial"/>
                <w:b w:val="0"/>
                <w:i/>
                <w:iCs/>
              </w:rPr>
            </w:pPr>
          </w:p>
          <w:p w14:paraId="0CD9A3C8" w14:textId="77777777" w:rsidR="00F84716" w:rsidRPr="00F84716" w:rsidRDefault="00F84716" w:rsidP="003F2A67">
            <w:pPr>
              <w:jc w:val="both"/>
              <w:rPr>
                <w:rFonts w:ascii="Arial" w:hAnsi="Arial" w:cs="Arial"/>
                <w:b w:val="0"/>
              </w:rPr>
            </w:pPr>
            <w:r w:rsidRPr="00F84716">
              <w:rPr>
                <w:rFonts w:ascii="Arial" w:hAnsi="Arial" w:cs="Arial"/>
                <w:b w:val="0"/>
                <w:i/>
                <w:iCs/>
              </w:rPr>
              <w:t>A partir del análisis de áreas críticas se priorizaron las zonas con categoría media y alta de susceptibilidad de amenaza por avenidas torrenciales teniendo en cuenta las 4 categorías establecidas (Tabla 66), integrando los índices morfométricos de torrencialidad ya establecidos para la susceptibilidad.</w:t>
            </w:r>
            <w:r w:rsidRPr="00F84716">
              <w:rPr>
                <w:rFonts w:ascii="Arial" w:hAnsi="Arial" w:cs="Arial"/>
                <w:b w:val="0"/>
              </w:rPr>
              <w:t>”.</w:t>
            </w:r>
          </w:p>
          <w:p w14:paraId="146CE5D5" w14:textId="77777777" w:rsidR="00F84716" w:rsidRPr="00F84716" w:rsidRDefault="00F84716" w:rsidP="003F2A67">
            <w:pPr>
              <w:jc w:val="both"/>
              <w:rPr>
                <w:rFonts w:ascii="Arial" w:hAnsi="Arial" w:cs="Arial"/>
                <w:b w:val="0"/>
              </w:rPr>
            </w:pPr>
          </w:p>
          <w:p w14:paraId="30B9DC5E" w14:textId="77777777" w:rsidR="00F84716" w:rsidRPr="00F84716" w:rsidRDefault="00F84716" w:rsidP="003F2A67">
            <w:pPr>
              <w:jc w:val="both"/>
              <w:rPr>
                <w:rFonts w:ascii="Arial" w:hAnsi="Arial" w:cs="Arial"/>
                <w:b w:val="0"/>
              </w:rPr>
            </w:pPr>
            <w:r w:rsidRPr="00F84716">
              <w:rPr>
                <w:rFonts w:ascii="Arial" w:hAnsi="Arial" w:cs="Arial"/>
                <w:b w:val="0"/>
              </w:rPr>
              <w:t>Adicionalmente, con respecto a la Amenaza Alta por Avenidas Torrenciales, dentro del informe final de gestión de Riesgo del POMCA alto Lebrija se presenta como resultado lo siguiente:</w:t>
            </w:r>
          </w:p>
          <w:p w14:paraId="6547E0A2" w14:textId="77777777" w:rsidR="00F84716" w:rsidRPr="00F84716" w:rsidRDefault="00F84716" w:rsidP="003F2A67">
            <w:pPr>
              <w:jc w:val="both"/>
              <w:rPr>
                <w:rFonts w:ascii="Arial" w:hAnsi="Arial" w:cs="Arial"/>
                <w:b w:val="0"/>
              </w:rPr>
            </w:pPr>
          </w:p>
          <w:p w14:paraId="11818291" w14:textId="77777777" w:rsidR="00F84716" w:rsidRPr="00F84716" w:rsidRDefault="00F84716" w:rsidP="003F2A67">
            <w:pPr>
              <w:jc w:val="both"/>
              <w:rPr>
                <w:rFonts w:ascii="Arial" w:hAnsi="Arial" w:cs="Arial"/>
                <w:b w:val="0"/>
              </w:rPr>
            </w:pPr>
            <w:r w:rsidRPr="00F84716">
              <w:rPr>
                <w:rFonts w:ascii="Arial" w:hAnsi="Arial" w:cs="Arial"/>
                <w:b w:val="0"/>
              </w:rPr>
              <w:t>“</w:t>
            </w:r>
            <w:r w:rsidRPr="00F84716">
              <w:rPr>
                <w:rFonts w:ascii="Arial" w:hAnsi="Arial" w:cs="Arial"/>
                <w:b w:val="0"/>
                <w:i/>
                <w:iCs/>
              </w:rPr>
              <w:t>En la zonificación de amenaza por avenidas torrenciales se distribuye en 27.014,29 hectáreas en amenaza alta, 71.514,01 hectáreas en amenaza media y 118.670,89 en amenaza baja.</w:t>
            </w:r>
          </w:p>
          <w:p w14:paraId="307AB4BE" w14:textId="77777777" w:rsidR="00F84716" w:rsidRPr="00F84716" w:rsidRDefault="00F84716" w:rsidP="003F2A67">
            <w:pPr>
              <w:jc w:val="both"/>
              <w:rPr>
                <w:rFonts w:ascii="Arial" w:hAnsi="Arial" w:cs="Arial"/>
                <w:b w:val="0"/>
              </w:rPr>
            </w:pPr>
          </w:p>
          <w:p w14:paraId="6E749C1C" w14:textId="77777777" w:rsidR="00F84716" w:rsidRPr="00F84716" w:rsidRDefault="00F84716" w:rsidP="003F2A67">
            <w:pPr>
              <w:jc w:val="both"/>
              <w:rPr>
                <w:rFonts w:ascii="Arial" w:hAnsi="Arial" w:cs="Arial"/>
                <w:b w:val="0"/>
              </w:rPr>
            </w:pPr>
            <w:r w:rsidRPr="00F84716">
              <w:rPr>
                <w:rFonts w:ascii="Arial" w:hAnsi="Arial" w:cs="Arial"/>
                <w:b w:val="0"/>
                <w:i/>
                <w:iCs/>
              </w:rPr>
              <w:t>5.2.2.2. Amenaza alta por avenidas torrenciales: La amenaza por avenidas torrenciales en el área de la Cuenca Hidrográfica Alto Lebrija presenta categoría alta con un porcentaje de 12% del área total de la cuenca, en los sectores donde se identificaron los cauces de quebradas, planicies de inundación y geoformas que muestran procesos morfodinámicos activos, en los municipios de California, Vetas, Charta, Tona, Matanza y en menor proporción Bucaramanga, Floridablanca, Piedecuesta y Rionegro.</w:t>
            </w:r>
            <w:r w:rsidRPr="00F84716">
              <w:rPr>
                <w:rFonts w:ascii="Arial" w:hAnsi="Arial" w:cs="Arial"/>
                <w:b w:val="0"/>
              </w:rPr>
              <w:t>”</w:t>
            </w:r>
          </w:p>
          <w:p w14:paraId="0A95DC21" w14:textId="77777777" w:rsidR="00F84716" w:rsidRPr="00F84716" w:rsidRDefault="00F84716" w:rsidP="003F2A67">
            <w:pPr>
              <w:jc w:val="both"/>
              <w:rPr>
                <w:rFonts w:ascii="Arial" w:hAnsi="Arial" w:cs="Arial"/>
                <w:b w:val="0"/>
              </w:rPr>
            </w:pPr>
          </w:p>
          <w:p w14:paraId="322A9E81" w14:textId="77777777" w:rsidR="00F84716" w:rsidRPr="00F84716" w:rsidRDefault="00F84716" w:rsidP="003F2A67">
            <w:pPr>
              <w:jc w:val="both"/>
              <w:rPr>
                <w:rFonts w:ascii="Arial" w:hAnsi="Arial" w:cs="Arial"/>
                <w:b w:val="0"/>
              </w:rPr>
            </w:pPr>
            <w:r w:rsidRPr="00F84716">
              <w:rPr>
                <w:rFonts w:ascii="Arial" w:hAnsi="Arial" w:cs="Arial"/>
                <w:b w:val="0"/>
              </w:rPr>
              <w:t>Con relación a las recomendaciones para el tema de Amenazas por Avenidas Torrenciales se expresa dentro del estudio POMCA lo siguiente:</w:t>
            </w:r>
          </w:p>
          <w:p w14:paraId="280F7D67" w14:textId="77777777" w:rsidR="00F84716" w:rsidRPr="00F84716" w:rsidRDefault="00F84716" w:rsidP="003F2A67">
            <w:pPr>
              <w:jc w:val="both"/>
              <w:rPr>
                <w:rFonts w:ascii="Arial" w:hAnsi="Arial" w:cs="Arial"/>
                <w:b w:val="0"/>
                <w:i/>
                <w:iCs/>
              </w:rPr>
            </w:pPr>
          </w:p>
          <w:p w14:paraId="754A9748" w14:textId="77777777" w:rsidR="00F84716" w:rsidRPr="00F84716" w:rsidRDefault="00F84716" w:rsidP="003F2A67">
            <w:pPr>
              <w:jc w:val="both"/>
              <w:rPr>
                <w:rFonts w:ascii="Arial" w:hAnsi="Arial" w:cs="Arial"/>
                <w:b w:val="0"/>
                <w:i/>
                <w:iCs/>
              </w:rPr>
            </w:pPr>
            <w:r w:rsidRPr="00F84716">
              <w:rPr>
                <w:rFonts w:ascii="Arial" w:hAnsi="Arial" w:cs="Arial"/>
                <w:b w:val="0"/>
              </w:rPr>
              <w:t>“</w:t>
            </w:r>
            <w:r w:rsidRPr="00F84716">
              <w:rPr>
                <w:rFonts w:ascii="Arial" w:hAnsi="Arial" w:cs="Arial"/>
                <w:b w:val="0"/>
                <w:i/>
                <w:iCs/>
              </w:rPr>
              <w:t xml:space="preserve">Los eventos históricos por avenidas torrenciales dentro de la Cuenca Hidrográfica de Alto Lebrija se caracterizan principalmente por deslizamientos de tierra, avalanchas de roca y lodo además de frecuentes crecidas en los Ríos de Oro y Río Negro. Originadas a causa de tormentas de alta intensidad, principalmente en áreas de altas pendientes en las </w:t>
            </w:r>
            <w:r w:rsidRPr="00F84716">
              <w:rPr>
                <w:rFonts w:ascii="Arial" w:hAnsi="Arial" w:cs="Arial"/>
                <w:b w:val="0"/>
                <w:i/>
                <w:iCs/>
              </w:rPr>
              <w:lastRenderedPageBreak/>
              <w:t>cuencas, con poca presencia de cobertura vegetal y se ven afectadas de manera importante cuando el índice de infiltración se reduce por tormentas previas. Sectores de la cuenca como los tributarios y el cauce activo del Rio Oro, Rio Negro y Rio Lebrija, son los más críticos para presentar avenidas torrenciales colocando al municipio de Rio Negro, Lebrija y Girón, como los más susceptibles a sufrir avenidas torrenciales. Por tanto, al igual que las zonas de amenaza por inundaciones, es recomendable indispensable crear planes de contingencia que permitan identificar y monitorear este tipo de amenazas mediante alertas tempranas con el objetivo de evitar las pérdidas humanas, ambientales y económicas. La realización de estudios locales y puntuales que incluyan como mínimo inventarios de avenidas torrenciales topografía y batimetría de detalle, insumos necesarios para modelaciones hidrodinámicas y de capacidad hidráulica de los Ríos de Oro, Rio Negro y Rio Lebrija, orientados a delimitar con mayor precisión el área de influencia de este tipo de fenómenos. Dentro de las zonas en las que por estudios detallados se confirme la condición de amenaza alta se deberán ejecutar programas de reasentamiento, recuperación ambiental y reforestación de áreas expuestas que han sido afectadas por este tipo de amenaza en los municipios de Girón, Rionegro y Lebrija.</w:t>
            </w:r>
          </w:p>
          <w:p w14:paraId="499A8E35" w14:textId="77777777" w:rsidR="00F84716" w:rsidRPr="00F84716" w:rsidRDefault="00F84716" w:rsidP="003F2A67">
            <w:pPr>
              <w:jc w:val="both"/>
              <w:rPr>
                <w:rFonts w:ascii="Arial" w:hAnsi="Arial" w:cs="Arial"/>
                <w:b w:val="0"/>
                <w:i/>
                <w:iCs/>
              </w:rPr>
            </w:pPr>
          </w:p>
          <w:p w14:paraId="494E5434" w14:textId="77777777" w:rsidR="00F84716" w:rsidRPr="00F84716" w:rsidRDefault="00F84716" w:rsidP="003F2A67">
            <w:pPr>
              <w:jc w:val="both"/>
              <w:rPr>
                <w:rFonts w:ascii="Arial" w:hAnsi="Arial" w:cs="Arial"/>
                <w:b w:val="0"/>
              </w:rPr>
            </w:pPr>
            <w:r w:rsidRPr="00F84716">
              <w:rPr>
                <w:rFonts w:ascii="Arial" w:hAnsi="Arial" w:cs="Arial"/>
                <w:b w:val="0"/>
                <w:i/>
                <w:iCs/>
              </w:rPr>
              <w:t>En la cuenca hidrográfica del rio Alto Lebrija a partir de las temáticas geología y geomorfología no se presentan áreas de deposición cartografiables a la escala de trabajo (1:25.000), sin embargo, a partir de las condiciones de amenaza alta y media es probable la incidencia de estos eventos a la presencia de zonas deposicionales características de este tipo de fenómeno a una escala de mayor detalle.</w:t>
            </w:r>
            <w:r w:rsidRPr="00F84716">
              <w:rPr>
                <w:rFonts w:ascii="Arial" w:hAnsi="Arial" w:cs="Arial"/>
                <w:b w:val="0"/>
              </w:rPr>
              <w:t>”.</w:t>
            </w:r>
          </w:p>
          <w:p w14:paraId="5D013DA2" w14:textId="77777777" w:rsidR="00F84716" w:rsidRPr="00F84716" w:rsidRDefault="00F84716" w:rsidP="003F2A67">
            <w:pPr>
              <w:jc w:val="both"/>
              <w:rPr>
                <w:rFonts w:ascii="Arial" w:hAnsi="Arial" w:cs="Arial"/>
                <w:b w:val="0"/>
              </w:rPr>
            </w:pPr>
          </w:p>
        </w:tc>
      </w:tr>
    </w:tbl>
    <w:p w14:paraId="1A4515DE" w14:textId="77777777" w:rsidR="00F84716" w:rsidRPr="00F84716" w:rsidRDefault="00F84716" w:rsidP="00F84716">
      <w:pPr>
        <w:jc w:val="both"/>
        <w:rPr>
          <w:rFonts w:ascii="Arial" w:hAnsi="Arial" w:cs="Arial"/>
          <w:bCs/>
          <w:sz w:val="16"/>
          <w:szCs w:val="16"/>
          <w:lang w:val="es-ES"/>
        </w:rPr>
      </w:pPr>
      <w:r w:rsidRPr="00F84716">
        <w:rPr>
          <w:rFonts w:ascii="Arial" w:hAnsi="Arial" w:cs="Arial"/>
          <w:bCs/>
          <w:sz w:val="16"/>
          <w:szCs w:val="16"/>
          <w:lang w:val="es-ES"/>
        </w:rPr>
        <w:lastRenderedPageBreak/>
        <w:t xml:space="preserve">Fuente: </w:t>
      </w:r>
      <w:r w:rsidRPr="00F84716">
        <w:rPr>
          <w:rFonts w:ascii="Arial" w:hAnsi="Arial" w:cs="Arial"/>
          <w:b w:val="0"/>
          <w:sz w:val="16"/>
          <w:szCs w:val="16"/>
          <w:lang w:val="es-ES"/>
        </w:rPr>
        <w:t>POMCA Alto Lebrija, consultoría para el ajuste (actualización) del plan de ordenación y manejo de la cuenca hidrográfica Alto Lebrija (código 2319-01), adoptado mediante Resolución CDMB N° 0392 de julio 17 de 2020.</w:t>
      </w:r>
    </w:p>
    <w:p w14:paraId="5770B1AF" w14:textId="77777777" w:rsidR="000C256C" w:rsidRDefault="000C256C" w:rsidP="00DD45F5">
      <w:pPr>
        <w:jc w:val="both"/>
        <w:rPr>
          <w:rFonts w:ascii="Arial" w:eastAsiaTheme="minorHAnsi" w:hAnsi="Arial" w:cs="Arial"/>
          <w:b w:val="0"/>
        </w:rPr>
      </w:pPr>
    </w:p>
    <w:p w14:paraId="0432F8C9" w14:textId="77777777" w:rsidR="00AB3FC3" w:rsidRPr="00AB3FC3" w:rsidRDefault="00AB3FC3" w:rsidP="00AB3FC3">
      <w:pPr>
        <w:jc w:val="both"/>
        <w:rPr>
          <w:rFonts w:ascii="Arial" w:eastAsiaTheme="minorHAnsi" w:hAnsi="Arial" w:cs="Arial"/>
          <w:b w:val="0"/>
          <w:i/>
          <w:iCs/>
        </w:rPr>
      </w:pPr>
      <w:r w:rsidRPr="00D83D9D">
        <w:rPr>
          <w:rFonts w:ascii="Arial" w:eastAsiaTheme="minorHAnsi" w:hAnsi="Arial" w:cs="Arial"/>
          <w:bCs/>
          <w:i/>
          <w:iCs/>
        </w:rPr>
        <w:t>SEGUNDO</w:t>
      </w:r>
      <w:r w:rsidRPr="00AB3FC3">
        <w:rPr>
          <w:rFonts w:ascii="Arial" w:eastAsiaTheme="minorHAnsi" w:hAnsi="Arial" w:cs="Arial"/>
          <w:b w:val="0"/>
          <w:i/>
          <w:iCs/>
        </w:rPr>
        <w:t>. Se remita copia íntegra del acto o actos administrativos mediante los cuales se hayan</w:t>
      </w:r>
    </w:p>
    <w:p w14:paraId="327EE986" w14:textId="77777777" w:rsidR="00AB3FC3" w:rsidRPr="00AB3FC3" w:rsidRDefault="00AB3FC3" w:rsidP="00AB3FC3">
      <w:pPr>
        <w:jc w:val="both"/>
        <w:rPr>
          <w:rFonts w:ascii="Arial" w:eastAsiaTheme="minorHAnsi" w:hAnsi="Arial" w:cs="Arial"/>
          <w:b w:val="0"/>
          <w:i/>
          <w:iCs/>
        </w:rPr>
      </w:pPr>
      <w:r w:rsidRPr="00AB3FC3">
        <w:rPr>
          <w:rFonts w:ascii="Arial" w:eastAsiaTheme="minorHAnsi" w:hAnsi="Arial" w:cs="Arial"/>
          <w:b w:val="0"/>
          <w:i/>
          <w:iCs/>
        </w:rPr>
        <w:t>definido, delimitado o adoptado zonas de protección ambiental, rondas hídricas, áreas de manejo</w:t>
      </w:r>
    </w:p>
    <w:p w14:paraId="00BABF0E" w14:textId="73B37A69" w:rsidR="000306E6" w:rsidRPr="00AB3FC3" w:rsidRDefault="00AB3FC3" w:rsidP="00AB3FC3">
      <w:pPr>
        <w:jc w:val="both"/>
        <w:rPr>
          <w:rFonts w:ascii="Arial" w:eastAsiaTheme="minorHAnsi" w:hAnsi="Arial" w:cs="Arial"/>
          <w:b w:val="0"/>
          <w:i/>
          <w:iCs/>
        </w:rPr>
      </w:pPr>
      <w:r w:rsidRPr="00AB3FC3">
        <w:rPr>
          <w:rFonts w:ascii="Arial" w:eastAsiaTheme="minorHAnsi" w:hAnsi="Arial" w:cs="Arial"/>
          <w:b w:val="0"/>
          <w:i/>
          <w:iCs/>
        </w:rPr>
        <w:t>especial o zonas de amenaza por inundación asociadas al Río de Oro en el sector donde se ubican los predios objeto de esta solicitud.</w:t>
      </w:r>
    </w:p>
    <w:p w14:paraId="164203E9" w14:textId="77777777" w:rsidR="000306E6" w:rsidRDefault="000306E6" w:rsidP="00DD45F5">
      <w:pPr>
        <w:jc w:val="both"/>
        <w:rPr>
          <w:rFonts w:ascii="Arial" w:eastAsiaTheme="minorHAnsi" w:hAnsi="Arial" w:cs="Arial"/>
          <w:b w:val="0"/>
        </w:rPr>
      </w:pPr>
    </w:p>
    <w:p w14:paraId="49AA65C3" w14:textId="23724B25" w:rsidR="001242CA" w:rsidRDefault="001242CA" w:rsidP="001242CA">
      <w:pPr>
        <w:jc w:val="both"/>
        <w:rPr>
          <w:rFonts w:ascii="Arial" w:eastAsiaTheme="minorHAnsi" w:hAnsi="Arial" w:cs="Arial"/>
          <w:b w:val="0"/>
        </w:rPr>
      </w:pPr>
      <w:r w:rsidRPr="001242CA">
        <w:rPr>
          <w:rFonts w:ascii="Arial" w:eastAsiaTheme="minorHAnsi" w:hAnsi="Arial" w:cs="Arial"/>
          <w:bCs/>
        </w:rPr>
        <w:t>Respuesta:</w:t>
      </w:r>
      <w:r>
        <w:rPr>
          <w:rFonts w:ascii="Arial" w:eastAsiaTheme="minorHAnsi" w:hAnsi="Arial" w:cs="Arial"/>
          <w:b w:val="0"/>
        </w:rPr>
        <w:t xml:space="preserve"> C</w:t>
      </w:r>
      <w:r w:rsidRPr="001242CA">
        <w:rPr>
          <w:rFonts w:ascii="Arial" w:eastAsiaTheme="minorHAnsi" w:hAnsi="Arial" w:cs="Arial"/>
          <w:b w:val="0"/>
        </w:rPr>
        <w:t>on respecto a la solicitud expresa de información acerca de la normatividad ambiental vigente</w:t>
      </w:r>
      <w:r>
        <w:rPr>
          <w:rFonts w:ascii="Arial" w:eastAsiaTheme="minorHAnsi" w:hAnsi="Arial" w:cs="Arial"/>
          <w:b w:val="0"/>
        </w:rPr>
        <w:t xml:space="preserve"> </w:t>
      </w:r>
      <w:r w:rsidRPr="001242CA">
        <w:rPr>
          <w:rFonts w:ascii="Arial" w:eastAsiaTheme="minorHAnsi" w:hAnsi="Arial" w:cs="Arial"/>
          <w:b w:val="0"/>
        </w:rPr>
        <w:t>en el tema de determinantes ambientales se anexa:</w:t>
      </w:r>
    </w:p>
    <w:p w14:paraId="23EC9E8A" w14:textId="77777777" w:rsidR="001242CA" w:rsidRPr="001242CA" w:rsidRDefault="001242CA" w:rsidP="001242CA">
      <w:pPr>
        <w:jc w:val="both"/>
        <w:rPr>
          <w:rFonts w:ascii="Arial" w:eastAsiaTheme="minorHAnsi" w:hAnsi="Arial" w:cs="Arial"/>
          <w:b w:val="0"/>
        </w:rPr>
      </w:pPr>
    </w:p>
    <w:p w14:paraId="1859B447" w14:textId="68681B9C" w:rsidR="001242CA" w:rsidRPr="001242CA" w:rsidRDefault="001242CA" w:rsidP="001242CA">
      <w:pPr>
        <w:jc w:val="both"/>
        <w:rPr>
          <w:rFonts w:ascii="Arial" w:eastAsiaTheme="minorHAnsi" w:hAnsi="Arial" w:cs="Arial"/>
          <w:b w:val="0"/>
        </w:rPr>
      </w:pPr>
      <w:r w:rsidRPr="001242CA">
        <w:rPr>
          <w:rFonts w:ascii="Arial" w:eastAsiaTheme="minorHAnsi" w:hAnsi="Arial" w:cs="Arial"/>
          <w:bCs/>
        </w:rPr>
        <w:t>Anexo N°</w:t>
      </w:r>
      <w:r w:rsidR="00183F1E">
        <w:rPr>
          <w:rFonts w:ascii="Arial" w:eastAsiaTheme="minorHAnsi" w:hAnsi="Arial" w:cs="Arial"/>
          <w:bCs/>
        </w:rPr>
        <w:t>4</w:t>
      </w:r>
      <w:r w:rsidRPr="001242CA">
        <w:rPr>
          <w:rFonts w:ascii="Arial" w:eastAsiaTheme="minorHAnsi" w:hAnsi="Arial" w:cs="Arial"/>
          <w:bCs/>
        </w:rPr>
        <w:t>:</w:t>
      </w:r>
      <w:r w:rsidRPr="001242CA">
        <w:rPr>
          <w:rFonts w:ascii="Arial" w:eastAsiaTheme="minorHAnsi" w:hAnsi="Arial" w:cs="Arial"/>
          <w:b w:val="0"/>
        </w:rPr>
        <w:t xml:space="preserve"> Resolución CDMB 1688 de 23 de diciembre de 2019, “Por la cual se actualiza las</w:t>
      </w:r>
      <w:r>
        <w:rPr>
          <w:rFonts w:ascii="Arial" w:eastAsiaTheme="minorHAnsi" w:hAnsi="Arial" w:cs="Arial"/>
          <w:b w:val="0"/>
        </w:rPr>
        <w:t xml:space="preserve"> </w:t>
      </w:r>
      <w:r w:rsidRPr="001242CA">
        <w:rPr>
          <w:rFonts w:ascii="Arial" w:eastAsiaTheme="minorHAnsi" w:hAnsi="Arial" w:cs="Arial"/>
          <w:b w:val="0"/>
        </w:rPr>
        <w:t>determinantes ambientales, para la elaboración y adopción de los planes de ordenamiento</w:t>
      </w:r>
      <w:r>
        <w:rPr>
          <w:rFonts w:ascii="Arial" w:eastAsiaTheme="minorHAnsi" w:hAnsi="Arial" w:cs="Arial"/>
          <w:b w:val="0"/>
        </w:rPr>
        <w:t xml:space="preserve"> </w:t>
      </w:r>
      <w:r w:rsidRPr="001242CA">
        <w:rPr>
          <w:rFonts w:ascii="Arial" w:eastAsiaTheme="minorHAnsi" w:hAnsi="Arial" w:cs="Arial"/>
          <w:b w:val="0"/>
        </w:rPr>
        <w:t>territorial, planes básicos de ordenamiento territorial y esquemas de ordenamiento territorial, de</w:t>
      </w:r>
      <w:r>
        <w:rPr>
          <w:rFonts w:ascii="Arial" w:eastAsiaTheme="minorHAnsi" w:hAnsi="Arial" w:cs="Arial"/>
          <w:b w:val="0"/>
        </w:rPr>
        <w:t xml:space="preserve"> </w:t>
      </w:r>
      <w:r w:rsidRPr="001242CA">
        <w:rPr>
          <w:rFonts w:ascii="Arial" w:eastAsiaTheme="minorHAnsi" w:hAnsi="Arial" w:cs="Arial"/>
          <w:b w:val="0"/>
        </w:rPr>
        <w:t>los municipios del área de jurisdicción de la Corporación Autónoma Regional para la Defensa</w:t>
      </w:r>
      <w:r>
        <w:rPr>
          <w:rFonts w:ascii="Arial" w:eastAsiaTheme="minorHAnsi" w:hAnsi="Arial" w:cs="Arial"/>
          <w:b w:val="0"/>
        </w:rPr>
        <w:t xml:space="preserve"> </w:t>
      </w:r>
      <w:r w:rsidRPr="001242CA">
        <w:rPr>
          <w:rFonts w:ascii="Arial" w:eastAsiaTheme="minorHAnsi" w:hAnsi="Arial" w:cs="Arial"/>
          <w:b w:val="0"/>
        </w:rPr>
        <w:t>de la Meseta de Bucaramanga y se dictan otras disposiciones.”; Documento PDF, 11 folios.</w:t>
      </w:r>
    </w:p>
    <w:p w14:paraId="4E1AFC0C" w14:textId="77777777" w:rsidR="001242CA" w:rsidRDefault="001242CA" w:rsidP="001242CA">
      <w:pPr>
        <w:jc w:val="both"/>
        <w:rPr>
          <w:rFonts w:ascii="Arial" w:eastAsiaTheme="minorHAnsi" w:hAnsi="Arial" w:cs="Arial"/>
          <w:b w:val="0"/>
        </w:rPr>
      </w:pPr>
    </w:p>
    <w:p w14:paraId="580DFEBC" w14:textId="328B2EF1" w:rsidR="001242CA" w:rsidRPr="001242CA" w:rsidRDefault="001242CA" w:rsidP="001242CA">
      <w:pPr>
        <w:jc w:val="both"/>
        <w:rPr>
          <w:rFonts w:ascii="Arial" w:eastAsiaTheme="minorHAnsi" w:hAnsi="Arial" w:cs="Arial"/>
          <w:b w:val="0"/>
        </w:rPr>
      </w:pPr>
      <w:r w:rsidRPr="001242CA">
        <w:rPr>
          <w:rFonts w:ascii="Arial" w:eastAsiaTheme="minorHAnsi" w:hAnsi="Arial" w:cs="Arial"/>
          <w:bCs/>
        </w:rPr>
        <w:t>Anexo N°</w:t>
      </w:r>
      <w:r w:rsidR="00183F1E">
        <w:rPr>
          <w:rFonts w:ascii="Arial" w:eastAsiaTheme="minorHAnsi" w:hAnsi="Arial" w:cs="Arial"/>
          <w:bCs/>
        </w:rPr>
        <w:t>5</w:t>
      </w:r>
      <w:r w:rsidRPr="001242CA">
        <w:rPr>
          <w:rFonts w:ascii="Arial" w:eastAsiaTheme="minorHAnsi" w:hAnsi="Arial" w:cs="Arial"/>
          <w:bCs/>
        </w:rPr>
        <w:t>:</w:t>
      </w:r>
      <w:r w:rsidRPr="001242CA">
        <w:rPr>
          <w:rFonts w:ascii="Arial" w:eastAsiaTheme="minorHAnsi" w:hAnsi="Arial" w:cs="Arial"/>
          <w:b w:val="0"/>
        </w:rPr>
        <w:t xml:space="preserve"> Documento Técnico de Actualización de las determinantes ambientales para</w:t>
      </w:r>
      <w:r>
        <w:rPr>
          <w:rFonts w:ascii="Arial" w:eastAsiaTheme="minorHAnsi" w:hAnsi="Arial" w:cs="Arial"/>
          <w:b w:val="0"/>
        </w:rPr>
        <w:t xml:space="preserve"> </w:t>
      </w:r>
      <w:r w:rsidRPr="001242CA">
        <w:rPr>
          <w:rFonts w:ascii="Arial" w:eastAsiaTheme="minorHAnsi" w:hAnsi="Arial" w:cs="Arial"/>
          <w:b w:val="0"/>
        </w:rPr>
        <w:t>la elaboración y adopción de los planes de ordenamiento territorial, planes básicos de</w:t>
      </w:r>
      <w:r>
        <w:rPr>
          <w:rFonts w:ascii="Arial" w:eastAsiaTheme="minorHAnsi" w:hAnsi="Arial" w:cs="Arial"/>
          <w:b w:val="0"/>
        </w:rPr>
        <w:t xml:space="preserve"> </w:t>
      </w:r>
      <w:r w:rsidRPr="001242CA">
        <w:rPr>
          <w:rFonts w:ascii="Arial" w:eastAsiaTheme="minorHAnsi" w:hAnsi="Arial" w:cs="Arial"/>
          <w:b w:val="0"/>
        </w:rPr>
        <w:t>ordenamiento territorial de los municipios del área de jurisdicción de la Corporación Autónoma</w:t>
      </w:r>
      <w:r>
        <w:rPr>
          <w:rFonts w:ascii="Arial" w:eastAsiaTheme="minorHAnsi" w:hAnsi="Arial" w:cs="Arial"/>
          <w:b w:val="0"/>
        </w:rPr>
        <w:t xml:space="preserve"> </w:t>
      </w:r>
      <w:r w:rsidRPr="001242CA">
        <w:rPr>
          <w:rFonts w:ascii="Arial" w:eastAsiaTheme="minorHAnsi" w:hAnsi="Arial" w:cs="Arial"/>
          <w:b w:val="0"/>
        </w:rPr>
        <w:t xml:space="preserve">Regional para la </w:t>
      </w:r>
      <w:r w:rsidRPr="001242CA">
        <w:rPr>
          <w:rFonts w:ascii="Arial" w:eastAsiaTheme="minorHAnsi" w:hAnsi="Arial" w:cs="Arial"/>
          <w:b w:val="0"/>
        </w:rPr>
        <w:lastRenderedPageBreak/>
        <w:t>Defensa de la Meseta de Bucaramanga, CDMB,</w:t>
      </w:r>
      <w:r w:rsidR="005D6994" w:rsidRPr="005D6994">
        <w:rPr>
          <w:rFonts w:ascii="Arial" w:eastAsiaTheme="minorHAnsi" w:hAnsi="Arial" w:cs="Arial"/>
          <w:b w:val="0"/>
        </w:rPr>
        <w:t xml:space="preserve"> </w:t>
      </w:r>
      <w:r w:rsidR="005D6994" w:rsidRPr="001242CA">
        <w:rPr>
          <w:rFonts w:ascii="Arial" w:eastAsiaTheme="minorHAnsi" w:hAnsi="Arial" w:cs="Arial"/>
          <w:b w:val="0"/>
        </w:rPr>
        <w:t>de 23 de diciembre de 2019</w:t>
      </w:r>
      <w:r w:rsidR="005D6994">
        <w:rPr>
          <w:rFonts w:ascii="Arial" w:eastAsiaTheme="minorHAnsi" w:hAnsi="Arial" w:cs="Arial"/>
          <w:b w:val="0"/>
        </w:rPr>
        <w:t>,</w:t>
      </w:r>
      <w:r w:rsidRPr="001242CA">
        <w:rPr>
          <w:rFonts w:ascii="Arial" w:eastAsiaTheme="minorHAnsi" w:hAnsi="Arial" w:cs="Arial"/>
          <w:b w:val="0"/>
        </w:rPr>
        <w:t xml:space="preserve"> Actualización 2019.</w:t>
      </w:r>
      <w:r>
        <w:rPr>
          <w:rFonts w:ascii="Arial" w:eastAsiaTheme="minorHAnsi" w:hAnsi="Arial" w:cs="Arial"/>
          <w:b w:val="0"/>
        </w:rPr>
        <w:t xml:space="preserve"> </w:t>
      </w:r>
      <w:r w:rsidRPr="001242CA">
        <w:rPr>
          <w:rFonts w:ascii="Arial" w:eastAsiaTheme="minorHAnsi" w:hAnsi="Arial" w:cs="Arial"/>
          <w:b w:val="0"/>
        </w:rPr>
        <w:t>Documento PDF, 123 folios.</w:t>
      </w:r>
    </w:p>
    <w:p w14:paraId="6B0E0153" w14:textId="77777777" w:rsidR="001242CA" w:rsidRDefault="001242CA" w:rsidP="001242CA">
      <w:pPr>
        <w:jc w:val="both"/>
        <w:rPr>
          <w:rFonts w:ascii="Arial" w:eastAsiaTheme="minorHAnsi" w:hAnsi="Arial" w:cs="Arial"/>
          <w:b w:val="0"/>
        </w:rPr>
      </w:pPr>
    </w:p>
    <w:p w14:paraId="1774CD11" w14:textId="39A8BCA8" w:rsidR="00D83D9D" w:rsidRDefault="001242CA" w:rsidP="001242CA">
      <w:pPr>
        <w:jc w:val="both"/>
        <w:rPr>
          <w:rFonts w:ascii="Arial" w:eastAsiaTheme="minorHAnsi" w:hAnsi="Arial" w:cs="Arial"/>
          <w:b w:val="0"/>
        </w:rPr>
      </w:pPr>
      <w:r w:rsidRPr="001D2053">
        <w:rPr>
          <w:rFonts w:ascii="Arial" w:eastAsiaTheme="minorHAnsi" w:hAnsi="Arial" w:cs="Arial"/>
          <w:bCs/>
        </w:rPr>
        <w:t>Anexo N°</w:t>
      </w:r>
      <w:r w:rsidR="00183F1E">
        <w:rPr>
          <w:rFonts w:ascii="Arial" w:eastAsiaTheme="minorHAnsi" w:hAnsi="Arial" w:cs="Arial"/>
          <w:bCs/>
        </w:rPr>
        <w:t>6</w:t>
      </w:r>
      <w:r w:rsidRPr="001D2053">
        <w:rPr>
          <w:rFonts w:ascii="Arial" w:eastAsiaTheme="minorHAnsi" w:hAnsi="Arial" w:cs="Arial"/>
          <w:bCs/>
        </w:rPr>
        <w:t>:</w:t>
      </w:r>
      <w:r w:rsidRPr="001242CA">
        <w:rPr>
          <w:rFonts w:ascii="Arial" w:eastAsiaTheme="minorHAnsi" w:hAnsi="Arial" w:cs="Arial"/>
          <w:b w:val="0"/>
        </w:rPr>
        <w:t xml:space="preserve"> Ficha Técnica General Determinantes Ambientales para el ordenamiento</w:t>
      </w:r>
      <w:r>
        <w:rPr>
          <w:rFonts w:ascii="Arial" w:eastAsiaTheme="minorHAnsi" w:hAnsi="Arial" w:cs="Arial"/>
          <w:b w:val="0"/>
        </w:rPr>
        <w:t xml:space="preserve"> </w:t>
      </w:r>
      <w:r w:rsidRPr="001242CA">
        <w:rPr>
          <w:rFonts w:ascii="Arial" w:eastAsiaTheme="minorHAnsi" w:hAnsi="Arial" w:cs="Arial"/>
          <w:b w:val="0"/>
        </w:rPr>
        <w:t>territorial del municipio de</w:t>
      </w:r>
      <w:r w:rsidR="00AC4EB2">
        <w:rPr>
          <w:rFonts w:ascii="Arial" w:eastAsiaTheme="minorHAnsi" w:hAnsi="Arial" w:cs="Arial"/>
          <w:b w:val="0"/>
        </w:rPr>
        <w:t xml:space="preserve"> Bucaramanga</w:t>
      </w:r>
      <w:r w:rsidR="00B95758">
        <w:rPr>
          <w:rFonts w:ascii="Arial" w:eastAsiaTheme="minorHAnsi" w:hAnsi="Arial" w:cs="Arial"/>
          <w:b w:val="0"/>
        </w:rPr>
        <w:t xml:space="preserve">, </w:t>
      </w:r>
      <w:r w:rsidR="00B95758" w:rsidRPr="001242CA">
        <w:rPr>
          <w:rFonts w:ascii="Arial" w:eastAsiaTheme="minorHAnsi" w:hAnsi="Arial" w:cs="Arial"/>
          <w:b w:val="0"/>
        </w:rPr>
        <w:t>de 23 de diciembre de 2019</w:t>
      </w:r>
      <w:r w:rsidR="00B95758">
        <w:rPr>
          <w:rFonts w:ascii="Arial" w:eastAsiaTheme="minorHAnsi" w:hAnsi="Arial" w:cs="Arial"/>
          <w:b w:val="0"/>
        </w:rPr>
        <w:t>,</w:t>
      </w:r>
      <w:r w:rsidR="00B95758" w:rsidRPr="001242CA">
        <w:rPr>
          <w:rFonts w:ascii="Arial" w:eastAsiaTheme="minorHAnsi" w:hAnsi="Arial" w:cs="Arial"/>
          <w:b w:val="0"/>
        </w:rPr>
        <w:t xml:space="preserve"> Actualización 2019</w:t>
      </w:r>
      <w:r w:rsidR="00B95758">
        <w:rPr>
          <w:rFonts w:ascii="Arial" w:eastAsiaTheme="minorHAnsi" w:hAnsi="Arial" w:cs="Arial"/>
          <w:b w:val="0"/>
        </w:rPr>
        <w:t>.</w:t>
      </w:r>
    </w:p>
    <w:p w14:paraId="50677EAE" w14:textId="77777777" w:rsidR="00D83D9D" w:rsidRDefault="00D83D9D" w:rsidP="00DD45F5">
      <w:pPr>
        <w:jc w:val="both"/>
        <w:rPr>
          <w:rFonts w:ascii="Arial" w:eastAsiaTheme="minorHAnsi" w:hAnsi="Arial" w:cs="Arial"/>
          <w:b w:val="0"/>
        </w:rPr>
      </w:pPr>
    </w:p>
    <w:p w14:paraId="2EE12CF1" w14:textId="77777777" w:rsidR="0094749E" w:rsidRPr="00C01042" w:rsidRDefault="0094749E" w:rsidP="0094749E">
      <w:pPr>
        <w:jc w:val="both"/>
        <w:rPr>
          <w:rFonts w:ascii="Arial" w:eastAsiaTheme="minorHAnsi" w:hAnsi="Arial" w:cs="Arial"/>
          <w:b w:val="0"/>
          <w:i/>
          <w:iCs/>
        </w:rPr>
      </w:pPr>
      <w:r w:rsidRPr="00C01042">
        <w:rPr>
          <w:rFonts w:ascii="Arial" w:eastAsiaTheme="minorHAnsi" w:hAnsi="Arial" w:cs="Arial"/>
          <w:bCs/>
          <w:i/>
          <w:iCs/>
        </w:rPr>
        <w:t>TERCERO.</w:t>
      </w:r>
      <w:r w:rsidRPr="00C01042">
        <w:rPr>
          <w:rFonts w:ascii="Arial" w:eastAsiaTheme="minorHAnsi" w:hAnsi="Arial" w:cs="Arial"/>
          <w:b w:val="0"/>
          <w:i/>
          <w:iCs/>
        </w:rPr>
        <w:t xml:space="preserve"> Se suministren los estudios técnicos, hidrológicos, hidráulicos, geomorfológicos o</w:t>
      </w:r>
    </w:p>
    <w:p w14:paraId="1F27E867" w14:textId="73E92EB5" w:rsidR="0094749E" w:rsidRPr="00C01042" w:rsidRDefault="0094749E" w:rsidP="0094749E">
      <w:pPr>
        <w:jc w:val="both"/>
        <w:rPr>
          <w:rFonts w:ascii="Arial" w:eastAsiaTheme="minorHAnsi" w:hAnsi="Arial" w:cs="Arial"/>
          <w:b w:val="0"/>
          <w:i/>
          <w:iCs/>
        </w:rPr>
      </w:pPr>
      <w:r w:rsidRPr="00C01042">
        <w:rPr>
          <w:rFonts w:ascii="Arial" w:eastAsiaTheme="minorHAnsi" w:hAnsi="Arial" w:cs="Arial"/>
          <w:b w:val="0"/>
          <w:i/>
          <w:iCs/>
        </w:rPr>
        <w:t>ambientales que sirvieron de fundamento para la delimitación de las zonas de riesgo por inundación en el área de influencia de los predios, incluyendo memoria técnica, modelaciones y cartografía.</w:t>
      </w:r>
    </w:p>
    <w:p w14:paraId="590B6ECA" w14:textId="77777777" w:rsidR="0094749E" w:rsidRDefault="0094749E" w:rsidP="0094749E">
      <w:pPr>
        <w:jc w:val="both"/>
        <w:rPr>
          <w:rFonts w:ascii="Arial" w:eastAsiaTheme="minorHAnsi" w:hAnsi="Arial" w:cs="Arial"/>
          <w:b w:val="0"/>
        </w:rPr>
      </w:pPr>
    </w:p>
    <w:p w14:paraId="043C21BC" w14:textId="74802E20" w:rsidR="00C01042" w:rsidRPr="006A6CB9" w:rsidRDefault="00C01042" w:rsidP="006A6CB9">
      <w:pPr>
        <w:jc w:val="both"/>
        <w:rPr>
          <w:rFonts w:ascii="Arial" w:eastAsiaTheme="minorHAnsi" w:hAnsi="Arial" w:cs="Arial"/>
          <w:b w:val="0"/>
        </w:rPr>
      </w:pPr>
      <w:r w:rsidRPr="00D018ED">
        <w:rPr>
          <w:rFonts w:ascii="Arial" w:eastAsiaTheme="minorHAnsi" w:hAnsi="Arial" w:cs="Arial"/>
          <w:bCs/>
        </w:rPr>
        <w:t>Respuesta:</w:t>
      </w:r>
      <w:r>
        <w:rPr>
          <w:rFonts w:ascii="Arial" w:eastAsiaTheme="minorHAnsi" w:hAnsi="Arial" w:cs="Arial"/>
          <w:b w:val="0"/>
        </w:rPr>
        <w:t xml:space="preserve"> </w:t>
      </w:r>
      <w:r w:rsidR="00753236" w:rsidRPr="006A6CB9">
        <w:rPr>
          <w:rFonts w:ascii="Arial" w:eastAsiaTheme="minorHAnsi" w:hAnsi="Arial" w:cs="Arial"/>
          <w:b w:val="0"/>
        </w:rPr>
        <w:t xml:space="preserve">Con respecto a la solicitud expresa de información acerca de </w:t>
      </w:r>
      <w:r w:rsidR="00187F43" w:rsidRPr="006A6CB9">
        <w:rPr>
          <w:rFonts w:ascii="Arial" w:eastAsiaTheme="minorHAnsi" w:hAnsi="Arial" w:cs="Arial"/>
          <w:b w:val="0"/>
        </w:rPr>
        <w:t>estudios</w:t>
      </w:r>
      <w:r w:rsidR="006A6CB9" w:rsidRPr="006A6CB9">
        <w:rPr>
          <w:rFonts w:ascii="Arial" w:eastAsiaTheme="minorHAnsi" w:hAnsi="Arial" w:cs="Arial"/>
          <w:b w:val="0"/>
        </w:rPr>
        <w:t xml:space="preserve"> técnicos, hidrológicos, hidráulicos, geomorfológicos o</w:t>
      </w:r>
      <w:r w:rsidR="006A6CB9">
        <w:rPr>
          <w:rFonts w:ascii="Arial" w:eastAsiaTheme="minorHAnsi" w:hAnsi="Arial" w:cs="Arial"/>
          <w:b w:val="0"/>
        </w:rPr>
        <w:t xml:space="preserve"> </w:t>
      </w:r>
      <w:r w:rsidR="006A6CB9" w:rsidRPr="006A6CB9">
        <w:rPr>
          <w:rFonts w:ascii="Arial" w:eastAsiaTheme="minorHAnsi" w:hAnsi="Arial" w:cs="Arial"/>
          <w:b w:val="0"/>
        </w:rPr>
        <w:t>ambientales</w:t>
      </w:r>
      <w:r w:rsidR="00D018ED">
        <w:rPr>
          <w:rFonts w:ascii="Arial" w:eastAsiaTheme="minorHAnsi" w:hAnsi="Arial" w:cs="Arial"/>
          <w:b w:val="0"/>
        </w:rPr>
        <w:t>, se re</w:t>
      </w:r>
      <w:r w:rsidR="00DC309A">
        <w:rPr>
          <w:rFonts w:ascii="Arial" w:eastAsiaTheme="minorHAnsi" w:hAnsi="Arial" w:cs="Arial"/>
          <w:b w:val="0"/>
        </w:rPr>
        <w:t>laciona</w:t>
      </w:r>
      <w:r w:rsidR="0058769B">
        <w:rPr>
          <w:rFonts w:ascii="Arial" w:eastAsiaTheme="minorHAnsi" w:hAnsi="Arial" w:cs="Arial"/>
          <w:b w:val="0"/>
        </w:rPr>
        <w:t xml:space="preserve"> traslado</w:t>
      </w:r>
      <w:r w:rsidR="00721831">
        <w:rPr>
          <w:rFonts w:ascii="Arial" w:eastAsiaTheme="minorHAnsi" w:hAnsi="Arial" w:cs="Arial"/>
          <w:b w:val="0"/>
        </w:rPr>
        <w:t xml:space="preserve"> </w:t>
      </w:r>
      <w:r w:rsidR="006166D9">
        <w:rPr>
          <w:rFonts w:ascii="Arial" w:eastAsiaTheme="minorHAnsi" w:hAnsi="Arial" w:cs="Arial"/>
          <w:b w:val="0"/>
        </w:rPr>
        <w:t xml:space="preserve">a la </w:t>
      </w:r>
      <w:r w:rsidR="00BD532E">
        <w:rPr>
          <w:rFonts w:ascii="Arial" w:eastAsiaTheme="minorHAnsi" w:hAnsi="Arial" w:cs="Arial"/>
          <w:b w:val="0"/>
        </w:rPr>
        <w:t>SUBDIRECCIÓN DE</w:t>
      </w:r>
      <w:r w:rsidR="005D0973">
        <w:rPr>
          <w:rFonts w:ascii="Arial" w:eastAsiaTheme="minorHAnsi" w:hAnsi="Arial" w:cs="Arial"/>
          <w:b w:val="0"/>
        </w:rPr>
        <w:t xml:space="preserve"> RIESGO</w:t>
      </w:r>
      <w:r w:rsidR="005F19C0">
        <w:rPr>
          <w:rFonts w:ascii="Arial" w:eastAsiaTheme="minorHAnsi" w:hAnsi="Arial" w:cs="Arial"/>
          <w:b w:val="0"/>
        </w:rPr>
        <w:t xml:space="preserve"> Y SEGURIDAD TERRITORIAL</w:t>
      </w:r>
      <w:r w:rsidR="0058769B">
        <w:rPr>
          <w:rFonts w:ascii="Arial" w:eastAsiaTheme="minorHAnsi" w:hAnsi="Arial" w:cs="Arial"/>
          <w:b w:val="0"/>
        </w:rPr>
        <w:t xml:space="preserve"> de la CDMB</w:t>
      </w:r>
      <w:r w:rsidR="00C260F2">
        <w:rPr>
          <w:rFonts w:ascii="Arial" w:eastAsiaTheme="minorHAnsi" w:hAnsi="Arial" w:cs="Arial"/>
          <w:b w:val="0"/>
        </w:rPr>
        <w:t>,</w:t>
      </w:r>
      <w:r w:rsidR="005F19C0">
        <w:rPr>
          <w:rFonts w:ascii="Arial" w:eastAsiaTheme="minorHAnsi" w:hAnsi="Arial" w:cs="Arial"/>
          <w:b w:val="0"/>
        </w:rPr>
        <w:t xml:space="preserve"> bajo</w:t>
      </w:r>
      <w:r w:rsidR="00DC309A">
        <w:rPr>
          <w:rFonts w:ascii="Arial" w:eastAsiaTheme="minorHAnsi" w:hAnsi="Arial" w:cs="Arial"/>
          <w:b w:val="0"/>
        </w:rPr>
        <w:t xml:space="preserve"> memorando </w:t>
      </w:r>
      <w:r w:rsidR="005F19C0">
        <w:rPr>
          <w:rFonts w:ascii="Arial" w:eastAsiaTheme="minorHAnsi" w:hAnsi="Arial" w:cs="Arial"/>
          <w:b w:val="0"/>
        </w:rPr>
        <w:t>SOPIT-</w:t>
      </w:r>
      <w:r w:rsidR="00625C17">
        <w:rPr>
          <w:rFonts w:ascii="Arial" w:eastAsiaTheme="minorHAnsi" w:hAnsi="Arial" w:cs="Arial"/>
          <w:b w:val="0"/>
        </w:rPr>
        <w:t xml:space="preserve">261-2026, </w:t>
      </w:r>
      <w:r w:rsidR="00C260F2">
        <w:rPr>
          <w:rFonts w:ascii="Arial" w:eastAsiaTheme="minorHAnsi" w:hAnsi="Arial" w:cs="Arial"/>
          <w:b w:val="0"/>
        </w:rPr>
        <w:t>con el cual se</w:t>
      </w:r>
      <w:r w:rsidR="00625C17">
        <w:rPr>
          <w:rFonts w:ascii="Arial" w:eastAsiaTheme="minorHAnsi" w:hAnsi="Arial" w:cs="Arial"/>
          <w:b w:val="0"/>
        </w:rPr>
        <w:t xml:space="preserve"> dará respuesta a solicitud según sus competencias.</w:t>
      </w:r>
    </w:p>
    <w:p w14:paraId="5E82C2B0" w14:textId="77777777" w:rsidR="00C01042" w:rsidRPr="00C01042" w:rsidRDefault="00C01042" w:rsidP="0094749E">
      <w:pPr>
        <w:jc w:val="both"/>
        <w:rPr>
          <w:rFonts w:ascii="Arial" w:eastAsiaTheme="minorHAnsi" w:hAnsi="Arial" w:cs="Arial"/>
          <w:b w:val="0"/>
        </w:rPr>
      </w:pPr>
    </w:p>
    <w:p w14:paraId="0128849F" w14:textId="459963F5" w:rsidR="0094749E" w:rsidRPr="00C01042" w:rsidRDefault="0094749E" w:rsidP="0094749E">
      <w:pPr>
        <w:jc w:val="both"/>
        <w:rPr>
          <w:rFonts w:ascii="Arial" w:eastAsiaTheme="minorHAnsi" w:hAnsi="Arial" w:cs="Arial"/>
          <w:b w:val="0"/>
          <w:i/>
          <w:iCs/>
        </w:rPr>
      </w:pPr>
      <w:r w:rsidRPr="00C01042">
        <w:rPr>
          <w:rFonts w:ascii="Arial" w:eastAsiaTheme="minorHAnsi" w:hAnsi="Arial" w:cs="Arial"/>
          <w:bCs/>
          <w:i/>
          <w:iCs/>
        </w:rPr>
        <w:t>CUARTO.</w:t>
      </w:r>
      <w:r w:rsidRPr="00C01042">
        <w:rPr>
          <w:rFonts w:ascii="Arial" w:eastAsiaTheme="minorHAnsi" w:hAnsi="Arial" w:cs="Arial"/>
          <w:b w:val="0"/>
          <w:i/>
          <w:iCs/>
        </w:rPr>
        <w:t xml:space="preserve"> Se informe si la delimitación de las zonas de amenaza o riesgo por inundación se encuentra georreferenciada a escala predial y si existe precisión técnica que permita determinar si dicha afectación es total o parcial respecto de los inmuebles referidos.</w:t>
      </w:r>
    </w:p>
    <w:p w14:paraId="17E91D15" w14:textId="77777777" w:rsidR="0094749E" w:rsidRDefault="0094749E" w:rsidP="0094749E">
      <w:pPr>
        <w:jc w:val="both"/>
        <w:rPr>
          <w:rFonts w:ascii="Arial" w:eastAsiaTheme="minorHAnsi" w:hAnsi="Arial" w:cs="Arial"/>
          <w:b w:val="0"/>
        </w:rPr>
      </w:pPr>
    </w:p>
    <w:p w14:paraId="4EB49EA3" w14:textId="0DEA2DC3" w:rsidR="00671183" w:rsidRPr="006A6CB9" w:rsidRDefault="00671183" w:rsidP="00671183">
      <w:pPr>
        <w:jc w:val="both"/>
        <w:rPr>
          <w:rFonts w:ascii="Arial" w:eastAsiaTheme="minorHAnsi" w:hAnsi="Arial" w:cs="Arial"/>
          <w:b w:val="0"/>
        </w:rPr>
      </w:pPr>
      <w:r w:rsidRPr="00D018ED">
        <w:rPr>
          <w:rFonts w:ascii="Arial" w:eastAsiaTheme="minorHAnsi" w:hAnsi="Arial" w:cs="Arial"/>
          <w:bCs/>
        </w:rPr>
        <w:t>Respuesta:</w:t>
      </w:r>
      <w:r>
        <w:rPr>
          <w:rFonts w:ascii="Arial" w:eastAsiaTheme="minorHAnsi" w:hAnsi="Arial" w:cs="Arial"/>
          <w:b w:val="0"/>
        </w:rPr>
        <w:t xml:space="preserve"> </w:t>
      </w:r>
      <w:r w:rsidRPr="006A6CB9">
        <w:rPr>
          <w:rFonts w:ascii="Arial" w:eastAsiaTheme="minorHAnsi" w:hAnsi="Arial" w:cs="Arial"/>
          <w:b w:val="0"/>
        </w:rPr>
        <w:t xml:space="preserve">Con respecto a la solicitud expresa de información </w:t>
      </w:r>
      <w:r w:rsidR="00A94310" w:rsidRPr="00A94310">
        <w:rPr>
          <w:rFonts w:ascii="Arial" w:eastAsiaTheme="minorHAnsi" w:hAnsi="Arial" w:cs="Arial"/>
          <w:b w:val="0"/>
        </w:rPr>
        <w:t>la delimitación de las zonas de amenaza o riesgo por inundación se encuentra georreferenciada a escala predial</w:t>
      </w:r>
      <w:r>
        <w:rPr>
          <w:rFonts w:ascii="Arial" w:eastAsiaTheme="minorHAnsi" w:hAnsi="Arial" w:cs="Arial"/>
          <w:b w:val="0"/>
        </w:rPr>
        <w:t>, se relaciona traslado</w:t>
      </w:r>
      <w:r w:rsidR="00D30BF8">
        <w:rPr>
          <w:rFonts w:ascii="Arial" w:eastAsiaTheme="minorHAnsi" w:hAnsi="Arial" w:cs="Arial"/>
          <w:b w:val="0"/>
        </w:rPr>
        <w:t xml:space="preserve"> </w:t>
      </w:r>
      <w:r>
        <w:rPr>
          <w:rFonts w:ascii="Arial" w:eastAsiaTheme="minorHAnsi" w:hAnsi="Arial" w:cs="Arial"/>
          <w:b w:val="0"/>
        </w:rPr>
        <w:t>a la SUBDIRECCIÓN DE RIESGO Y SEGURIDAD TERRITORIAL de la CDMB, bajo memorando SOPIT-261-2026, con el cual se dará respuesta a solicitud según sus competencias.</w:t>
      </w:r>
    </w:p>
    <w:p w14:paraId="5C9B01DF" w14:textId="77777777" w:rsidR="00671183" w:rsidRDefault="00671183" w:rsidP="0094749E">
      <w:pPr>
        <w:jc w:val="both"/>
        <w:rPr>
          <w:rFonts w:ascii="Arial" w:eastAsiaTheme="minorHAnsi" w:hAnsi="Arial" w:cs="Arial"/>
          <w:b w:val="0"/>
        </w:rPr>
      </w:pPr>
    </w:p>
    <w:p w14:paraId="7E96F69C" w14:textId="299BEE04" w:rsidR="000306E6" w:rsidRPr="00C01042" w:rsidRDefault="0094749E" w:rsidP="0094749E">
      <w:pPr>
        <w:jc w:val="both"/>
        <w:rPr>
          <w:rFonts w:ascii="Arial" w:eastAsiaTheme="minorHAnsi" w:hAnsi="Arial" w:cs="Arial"/>
          <w:b w:val="0"/>
          <w:i/>
          <w:iCs/>
        </w:rPr>
      </w:pPr>
      <w:r w:rsidRPr="00C01042">
        <w:rPr>
          <w:rFonts w:ascii="Arial" w:eastAsiaTheme="minorHAnsi" w:hAnsi="Arial" w:cs="Arial"/>
          <w:bCs/>
          <w:i/>
          <w:iCs/>
        </w:rPr>
        <w:t>QUINTO.</w:t>
      </w:r>
      <w:r w:rsidRPr="00C01042">
        <w:rPr>
          <w:rFonts w:ascii="Arial" w:eastAsiaTheme="minorHAnsi" w:hAnsi="Arial" w:cs="Arial"/>
          <w:b w:val="0"/>
          <w:i/>
          <w:iCs/>
        </w:rPr>
        <w:t xml:space="preserve"> Se indique la fecha de elaboración de los estudios técnicos que soportan las determinantes ambientales vigentes y si estos han sido objeto de actualización, revisión o validación reciente por parte de esa Corporación.</w:t>
      </w:r>
    </w:p>
    <w:p w14:paraId="525FBCF7" w14:textId="77777777" w:rsidR="0094749E" w:rsidRDefault="0094749E" w:rsidP="00DD45F5">
      <w:pPr>
        <w:jc w:val="both"/>
        <w:rPr>
          <w:rFonts w:ascii="Arial" w:eastAsiaTheme="minorHAnsi" w:hAnsi="Arial" w:cs="Arial"/>
          <w:b w:val="0"/>
        </w:rPr>
      </w:pPr>
    </w:p>
    <w:p w14:paraId="552C1D42" w14:textId="04439D6F" w:rsidR="0075657D" w:rsidRPr="006A6CB9" w:rsidRDefault="0075657D" w:rsidP="0075657D">
      <w:pPr>
        <w:jc w:val="both"/>
        <w:rPr>
          <w:rFonts w:ascii="Arial" w:eastAsiaTheme="minorHAnsi" w:hAnsi="Arial" w:cs="Arial"/>
          <w:b w:val="0"/>
        </w:rPr>
      </w:pPr>
      <w:r w:rsidRPr="00D018ED">
        <w:rPr>
          <w:rFonts w:ascii="Arial" w:eastAsiaTheme="minorHAnsi" w:hAnsi="Arial" w:cs="Arial"/>
          <w:bCs/>
        </w:rPr>
        <w:t>Respuesta:</w:t>
      </w:r>
      <w:r>
        <w:rPr>
          <w:rFonts w:ascii="Arial" w:eastAsiaTheme="minorHAnsi" w:hAnsi="Arial" w:cs="Arial"/>
          <w:b w:val="0"/>
        </w:rPr>
        <w:t xml:space="preserve"> </w:t>
      </w:r>
      <w:r w:rsidRPr="006A6CB9">
        <w:rPr>
          <w:rFonts w:ascii="Arial" w:eastAsiaTheme="minorHAnsi" w:hAnsi="Arial" w:cs="Arial"/>
          <w:b w:val="0"/>
        </w:rPr>
        <w:t>Con respecto a la solicitud expresa de información</w:t>
      </w:r>
      <w:r w:rsidR="000F3CA1">
        <w:rPr>
          <w:rFonts w:ascii="Arial" w:eastAsiaTheme="minorHAnsi" w:hAnsi="Arial" w:cs="Arial"/>
          <w:b w:val="0"/>
        </w:rPr>
        <w:t xml:space="preserve"> de</w:t>
      </w:r>
      <w:r w:rsidRPr="006A6CB9">
        <w:rPr>
          <w:rFonts w:ascii="Arial" w:eastAsiaTheme="minorHAnsi" w:hAnsi="Arial" w:cs="Arial"/>
          <w:b w:val="0"/>
        </w:rPr>
        <w:t xml:space="preserve"> </w:t>
      </w:r>
      <w:r w:rsidRPr="0075657D">
        <w:rPr>
          <w:rFonts w:ascii="Arial" w:eastAsiaTheme="minorHAnsi" w:hAnsi="Arial" w:cs="Arial"/>
          <w:b w:val="0"/>
        </w:rPr>
        <w:t>la fecha de elaboración de los estudios técnicos que soportan las determinantes ambientales vigentes</w:t>
      </w:r>
      <w:r w:rsidR="000F3CA1">
        <w:rPr>
          <w:rFonts w:ascii="Arial" w:eastAsiaTheme="minorHAnsi" w:hAnsi="Arial" w:cs="Arial"/>
          <w:b w:val="0"/>
        </w:rPr>
        <w:t xml:space="preserve">, se </w:t>
      </w:r>
      <w:r w:rsidR="00DD78D0">
        <w:rPr>
          <w:rFonts w:ascii="Arial" w:eastAsiaTheme="minorHAnsi" w:hAnsi="Arial" w:cs="Arial"/>
          <w:b w:val="0"/>
        </w:rPr>
        <w:t xml:space="preserve">puede remitir a los anexos expresos en la respuesta de la solicitud </w:t>
      </w:r>
      <w:r w:rsidR="00010C2C" w:rsidRPr="00010C2C">
        <w:rPr>
          <w:rFonts w:ascii="Arial" w:eastAsiaTheme="minorHAnsi" w:hAnsi="Arial" w:cs="Arial"/>
          <w:b w:val="0"/>
          <w:i/>
          <w:iCs/>
        </w:rPr>
        <w:t>SEGUNDO</w:t>
      </w:r>
      <w:r w:rsidR="00DD78D0" w:rsidRPr="00010C2C">
        <w:rPr>
          <w:rFonts w:ascii="Arial" w:eastAsiaTheme="minorHAnsi" w:hAnsi="Arial" w:cs="Arial"/>
          <w:b w:val="0"/>
          <w:i/>
          <w:iCs/>
        </w:rPr>
        <w:t>.</w:t>
      </w:r>
    </w:p>
    <w:p w14:paraId="02C52F0D" w14:textId="77777777" w:rsidR="0094749E" w:rsidRDefault="0094749E" w:rsidP="00DD45F5">
      <w:pPr>
        <w:jc w:val="both"/>
        <w:rPr>
          <w:rFonts w:ascii="Arial" w:eastAsiaTheme="minorHAnsi" w:hAnsi="Arial" w:cs="Arial"/>
          <w:b w:val="0"/>
        </w:rPr>
      </w:pPr>
    </w:p>
    <w:p w14:paraId="6C5C1909" w14:textId="6061E44C" w:rsidR="0094749E" w:rsidRPr="002C6E32" w:rsidRDefault="002C6E32" w:rsidP="002C6E32">
      <w:pPr>
        <w:jc w:val="both"/>
        <w:rPr>
          <w:rFonts w:ascii="Arial" w:eastAsiaTheme="minorHAnsi" w:hAnsi="Arial" w:cs="Arial"/>
          <w:b w:val="0"/>
          <w:i/>
          <w:iCs/>
        </w:rPr>
      </w:pPr>
      <w:r w:rsidRPr="002C6E32">
        <w:rPr>
          <w:rFonts w:ascii="Arial" w:eastAsiaTheme="minorHAnsi" w:hAnsi="Arial" w:cs="Arial"/>
          <w:bCs/>
          <w:i/>
          <w:iCs/>
        </w:rPr>
        <w:t>SEXTO.</w:t>
      </w:r>
      <w:r w:rsidRPr="002C6E32">
        <w:rPr>
          <w:rFonts w:ascii="Arial" w:eastAsiaTheme="minorHAnsi" w:hAnsi="Arial" w:cs="Arial"/>
          <w:b w:val="0"/>
          <w:i/>
          <w:iCs/>
        </w:rPr>
        <w:t xml:space="preserve"> Se informe si, conforme a criterios técnicos actuales, el comportamiento del Río de Oro ha presentado variaciones en su cauce, capacidad hidráulica o dinámica fluvial que puedan incidir en la modificación de la cota de inundación en el sector objeto de estudio.</w:t>
      </w:r>
    </w:p>
    <w:p w14:paraId="37DDBFB9" w14:textId="77777777" w:rsidR="00010C2C" w:rsidRDefault="00010C2C" w:rsidP="00DD45F5">
      <w:pPr>
        <w:jc w:val="both"/>
        <w:rPr>
          <w:rFonts w:ascii="Arial" w:eastAsiaTheme="minorHAnsi" w:hAnsi="Arial" w:cs="Arial"/>
          <w:b w:val="0"/>
        </w:rPr>
      </w:pPr>
    </w:p>
    <w:p w14:paraId="0EF9075C" w14:textId="3E2196B1" w:rsidR="00010C2C" w:rsidRDefault="002C6E32" w:rsidP="00DD45F5">
      <w:pPr>
        <w:jc w:val="both"/>
        <w:rPr>
          <w:rFonts w:ascii="Arial" w:eastAsiaTheme="minorHAnsi" w:hAnsi="Arial" w:cs="Arial"/>
          <w:b w:val="0"/>
        </w:rPr>
      </w:pPr>
      <w:r w:rsidRPr="00D018ED">
        <w:rPr>
          <w:rFonts w:ascii="Arial" w:eastAsiaTheme="minorHAnsi" w:hAnsi="Arial" w:cs="Arial"/>
          <w:bCs/>
        </w:rPr>
        <w:t>Respuesta:</w:t>
      </w:r>
      <w:r>
        <w:rPr>
          <w:rFonts w:ascii="Arial" w:eastAsiaTheme="minorHAnsi" w:hAnsi="Arial" w:cs="Arial"/>
          <w:b w:val="0"/>
        </w:rPr>
        <w:t xml:space="preserve"> </w:t>
      </w:r>
      <w:r w:rsidRPr="006A6CB9">
        <w:rPr>
          <w:rFonts w:ascii="Arial" w:eastAsiaTheme="minorHAnsi" w:hAnsi="Arial" w:cs="Arial"/>
          <w:b w:val="0"/>
        </w:rPr>
        <w:t xml:space="preserve">Con respecto a la solicitud expresa de información </w:t>
      </w:r>
      <w:r w:rsidRPr="00A94310">
        <w:rPr>
          <w:rFonts w:ascii="Arial" w:eastAsiaTheme="minorHAnsi" w:hAnsi="Arial" w:cs="Arial"/>
          <w:b w:val="0"/>
        </w:rPr>
        <w:t>la delimitación</w:t>
      </w:r>
      <w:r>
        <w:rPr>
          <w:rFonts w:ascii="Arial" w:eastAsiaTheme="minorHAnsi" w:hAnsi="Arial" w:cs="Arial"/>
          <w:b w:val="0"/>
        </w:rPr>
        <w:t>, se relaciona traslado a la SUBDIRECCIÓN DE RIESGO Y SEGURIDAD TERRITORIAL de la CDMB, bajo memorando SOPIT-261-2026, con el cual se dará respuesta a solicitud según sus competencias</w:t>
      </w:r>
      <w:r w:rsidR="006E14C6">
        <w:rPr>
          <w:rFonts w:ascii="Arial" w:eastAsiaTheme="minorHAnsi" w:hAnsi="Arial" w:cs="Arial"/>
          <w:b w:val="0"/>
        </w:rPr>
        <w:t>.</w:t>
      </w:r>
    </w:p>
    <w:p w14:paraId="15FFAF49" w14:textId="77777777" w:rsidR="002C6E32" w:rsidRDefault="002C6E32" w:rsidP="00DD45F5">
      <w:pPr>
        <w:jc w:val="both"/>
        <w:rPr>
          <w:rFonts w:ascii="Arial" w:eastAsiaTheme="minorHAnsi" w:hAnsi="Arial" w:cs="Arial"/>
          <w:b w:val="0"/>
        </w:rPr>
      </w:pPr>
    </w:p>
    <w:p w14:paraId="0F92AA73" w14:textId="7157CCB9" w:rsidR="002C6E32" w:rsidRDefault="006E14C6" w:rsidP="006E14C6">
      <w:pPr>
        <w:jc w:val="both"/>
        <w:rPr>
          <w:rFonts w:ascii="Arial" w:eastAsiaTheme="minorHAnsi" w:hAnsi="Arial" w:cs="Arial"/>
          <w:b w:val="0"/>
        </w:rPr>
      </w:pPr>
      <w:r w:rsidRPr="006E14C6">
        <w:rPr>
          <w:rFonts w:ascii="Arial" w:eastAsiaTheme="minorHAnsi" w:hAnsi="Arial" w:cs="Arial"/>
          <w:bCs/>
          <w:i/>
          <w:iCs/>
        </w:rPr>
        <w:t>SÉPTIMO.</w:t>
      </w:r>
      <w:r w:rsidRPr="006E14C6">
        <w:rPr>
          <w:rFonts w:ascii="Arial" w:eastAsiaTheme="minorHAnsi" w:hAnsi="Arial" w:cs="Arial"/>
          <w:b w:val="0"/>
          <w:i/>
          <w:iCs/>
        </w:rPr>
        <w:t xml:space="preserve"> Se precise si existen estudios actualizados o en curso sobre la cota de inundación del Río de Oro en el área colindante con los predios, y en caso afirmativo, se remita copia de estos</w:t>
      </w:r>
      <w:r w:rsidRPr="006E14C6">
        <w:rPr>
          <w:rFonts w:ascii="Arial" w:eastAsiaTheme="minorHAnsi" w:hAnsi="Arial" w:cs="Arial"/>
          <w:b w:val="0"/>
        </w:rPr>
        <w:t>.</w:t>
      </w:r>
    </w:p>
    <w:p w14:paraId="1612C945" w14:textId="77777777" w:rsidR="002C6E32" w:rsidRDefault="002C6E32" w:rsidP="00DD45F5">
      <w:pPr>
        <w:jc w:val="both"/>
        <w:rPr>
          <w:rFonts w:ascii="Arial" w:eastAsiaTheme="minorHAnsi" w:hAnsi="Arial" w:cs="Arial"/>
          <w:b w:val="0"/>
        </w:rPr>
      </w:pPr>
    </w:p>
    <w:p w14:paraId="08676934" w14:textId="77777777" w:rsidR="006E14C6" w:rsidRDefault="006E14C6" w:rsidP="00DD45F5">
      <w:pPr>
        <w:jc w:val="both"/>
        <w:rPr>
          <w:rFonts w:ascii="Arial" w:eastAsiaTheme="minorHAnsi" w:hAnsi="Arial" w:cs="Arial"/>
          <w:b w:val="0"/>
        </w:rPr>
      </w:pPr>
    </w:p>
    <w:p w14:paraId="4090F180" w14:textId="299EE064" w:rsidR="006E14C6" w:rsidRDefault="006E14C6" w:rsidP="006E14C6">
      <w:pPr>
        <w:jc w:val="both"/>
        <w:rPr>
          <w:rFonts w:ascii="Arial" w:eastAsiaTheme="minorHAnsi" w:hAnsi="Arial" w:cs="Arial"/>
          <w:b w:val="0"/>
        </w:rPr>
      </w:pPr>
      <w:r w:rsidRPr="00D018ED">
        <w:rPr>
          <w:rFonts w:ascii="Arial" w:eastAsiaTheme="minorHAnsi" w:hAnsi="Arial" w:cs="Arial"/>
          <w:bCs/>
        </w:rPr>
        <w:t>Respuesta:</w:t>
      </w:r>
      <w:r>
        <w:rPr>
          <w:rFonts w:ascii="Arial" w:eastAsiaTheme="minorHAnsi" w:hAnsi="Arial" w:cs="Arial"/>
          <w:b w:val="0"/>
        </w:rPr>
        <w:t xml:space="preserve"> </w:t>
      </w:r>
      <w:r w:rsidRPr="006A6CB9">
        <w:rPr>
          <w:rFonts w:ascii="Arial" w:eastAsiaTheme="minorHAnsi" w:hAnsi="Arial" w:cs="Arial"/>
          <w:b w:val="0"/>
        </w:rPr>
        <w:t xml:space="preserve">Con respecto a la solicitud expresa de información </w:t>
      </w:r>
      <w:r w:rsidRPr="00A94310">
        <w:rPr>
          <w:rFonts w:ascii="Arial" w:eastAsiaTheme="minorHAnsi" w:hAnsi="Arial" w:cs="Arial"/>
          <w:b w:val="0"/>
        </w:rPr>
        <w:t>la delimitación</w:t>
      </w:r>
      <w:r>
        <w:rPr>
          <w:rFonts w:ascii="Arial" w:eastAsiaTheme="minorHAnsi" w:hAnsi="Arial" w:cs="Arial"/>
          <w:b w:val="0"/>
        </w:rPr>
        <w:t>, se relaciona traslado a la SUBDIRECCIÓN DE RIESGO Y SEGURIDAD TERRITORIAL de la CDMB, bajo memorando SOPIT-261-2026, con el cual se dará respuesta a solicitud según sus competencias.</w:t>
      </w:r>
    </w:p>
    <w:p w14:paraId="4783A177" w14:textId="77777777" w:rsidR="006E14C6" w:rsidRDefault="006E14C6" w:rsidP="00DD45F5">
      <w:pPr>
        <w:jc w:val="both"/>
        <w:rPr>
          <w:rFonts w:ascii="Arial" w:eastAsiaTheme="minorHAnsi" w:hAnsi="Arial" w:cs="Arial"/>
          <w:b w:val="0"/>
        </w:rPr>
      </w:pPr>
    </w:p>
    <w:p w14:paraId="5ECADADF" w14:textId="77777777" w:rsidR="00A17EE5" w:rsidRPr="00A17EE5" w:rsidRDefault="00A17EE5" w:rsidP="00A17EE5">
      <w:pPr>
        <w:jc w:val="both"/>
        <w:rPr>
          <w:rFonts w:ascii="Arial" w:eastAsiaTheme="minorHAnsi" w:hAnsi="Arial" w:cs="Arial"/>
          <w:b w:val="0"/>
          <w:i/>
          <w:iCs/>
        </w:rPr>
      </w:pPr>
      <w:r w:rsidRPr="00A17EE5">
        <w:rPr>
          <w:rFonts w:ascii="Arial" w:eastAsiaTheme="minorHAnsi" w:hAnsi="Arial" w:cs="Arial"/>
          <w:bCs/>
          <w:i/>
          <w:iCs/>
        </w:rPr>
        <w:t>OCTAVO</w:t>
      </w:r>
      <w:r w:rsidRPr="00A17EE5">
        <w:rPr>
          <w:rFonts w:ascii="Arial" w:eastAsiaTheme="minorHAnsi" w:hAnsi="Arial" w:cs="Arial"/>
          <w:b w:val="0"/>
          <w:i/>
          <w:iCs/>
        </w:rPr>
        <w:t>. Se informe si es técnicamente viable la actualización de los estudios de amenaza por</w:t>
      </w:r>
    </w:p>
    <w:p w14:paraId="06FEC63C" w14:textId="374983AE" w:rsidR="002C6E32" w:rsidRPr="00A17EE5" w:rsidRDefault="00A17EE5" w:rsidP="00A17EE5">
      <w:pPr>
        <w:jc w:val="both"/>
        <w:rPr>
          <w:rFonts w:ascii="Arial" w:eastAsiaTheme="minorHAnsi" w:hAnsi="Arial" w:cs="Arial"/>
          <w:b w:val="0"/>
          <w:i/>
          <w:iCs/>
        </w:rPr>
      </w:pPr>
      <w:r w:rsidRPr="00A17EE5">
        <w:rPr>
          <w:rFonts w:ascii="Arial" w:eastAsiaTheme="minorHAnsi" w:hAnsi="Arial" w:cs="Arial"/>
          <w:b w:val="0"/>
          <w:i/>
          <w:iCs/>
        </w:rPr>
        <w:t>inundación en el sector, indicando el procedimiento, requisitos y entidad competente para su elaboración, revisión y adopción.</w:t>
      </w:r>
    </w:p>
    <w:p w14:paraId="150E8929" w14:textId="77777777" w:rsidR="00A17EE5" w:rsidRDefault="00A17EE5" w:rsidP="00DD45F5">
      <w:pPr>
        <w:jc w:val="both"/>
        <w:rPr>
          <w:rFonts w:ascii="Arial" w:eastAsiaTheme="minorHAnsi" w:hAnsi="Arial" w:cs="Arial"/>
          <w:b w:val="0"/>
        </w:rPr>
      </w:pPr>
    </w:p>
    <w:p w14:paraId="296588B1" w14:textId="4F1318DF" w:rsidR="00A17EE5" w:rsidRDefault="00A17EE5" w:rsidP="00A17EE5">
      <w:pPr>
        <w:jc w:val="both"/>
        <w:rPr>
          <w:rFonts w:ascii="Arial" w:eastAsiaTheme="minorHAnsi" w:hAnsi="Arial" w:cs="Arial"/>
          <w:b w:val="0"/>
        </w:rPr>
      </w:pPr>
      <w:r w:rsidRPr="00D018ED">
        <w:rPr>
          <w:rFonts w:ascii="Arial" w:eastAsiaTheme="minorHAnsi" w:hAnsi="Arial" w:cs="Arial"/>
          <w:bCs/>
        </w:rPr>
        <w:t>Respuesta:</w:t>
      </w:r>
      <w:r>
        <w:rPr>
          <w:rFonts w:ascii="Arial" w:eastAsiaTheme="minorHAnsi" w:hAnsi="Arial" w:cs="Arial"/>
          <w:b w:val="0"/>
        </w:rPr>
        <w:t xml:space="preserve"> </w:t>
      </w:r>
      <w:r w:rsidRPr="006A6CB9">
        <w:rPr>
          <w:rFonts w:ascii="Arial" w:eastAsiaTheme="minorHAnsi" w:hAnsi="Arial" w:cs="Arial"/>
          <w:b w:val="0"/>
        </w:rPr>
        <w:t xml:space="preserve">Con respecto a la solicitud expresa de información </w:t>
      </w:r>
      <w:r w:rsidRPr="00A94310">
        <w:rPr>
          <w:rFonts w:ascii="Arial" w:eastAsiaTheme="minorHAnsi" w:hAnsi="Arial" w:cs="Arial"/>
          <w:b w:val="0"/>
        </w:rPr>
        <w:t>la delimitación</w:t>
      </w:r>
      <w:r>
        <w:rPr>
          <w:rFonts w:ascii="Arial" w:eastAsiaTheme="minorHAnsi" w:hAnsi="Arial" w:cs="Arial"/>
          <w:b w:val="0"/>
        </w:rPr>
        <w:t>, se relaciona traslado a la SUBDIRECCIÓN DE RIESGO Y SEGURIDAD TERRITORIAL de la CDMB, bajo memorando SOPIT-261-2026, con el cual se dará respuesta a solicitud según sus competencias.</w:t>
      </w:r>
    </w:p>
    <w:p w14:paraId="3A1BB9F5" w14:textId="77777777" w:rsidR="00A17EE5" w:rsidRDefault="00A17EE5" w:rsidP="00DD45F5">
      <w:pPr>
        <w:jc w:val="both"/>
        <w:rPr>
          <w:rFonts w:ascii="Arial" w:eastAsiaTheme="minorHAnsi" w:hAnsi="Arial" w:cs="Arial"/>
          <w:b w:val="0"/>
        </w:rPr>
      </w:pPr>
    </w:p>
    <w:p w14:paraId="743E5447" w14:textId="7127210C" w:rsidR="00A17EE5" w:rsidRPr="00795261" w:rsidRDefault="00795261" w:rsidP="00795261">
      <w:pPr>
        <w:jc w:val="both"/>
        <w:rPr>
          <w:rFonts w:ascii="Arial" w:eastAsiaTheme="minorHAnsi" w:hAnsi="Arial" w:cs="Arial"/>
          <w:b w:val="0"/>
          <w:i/>
          <w:iCs/>
        </w:rPr>
      </w:pPr>
      <w:r w:rsidRPr="00795261">
        <w:rPr>
          <w:rFonts w:ascii="Arial" w:eastAsiaTheme="minorHAnsi" w:hAnsi="Arial" w:cs="Arial"/>
          <w:bCs/>
          <w:i/>
          <w:iCs/>
        </w:rPr>
        <w:t>NOVENO.</w:t>
      </w:r>
      <w:r w:rsidRPr="00795261">
        <w:rPr>
          <w:rFonts w:ascii="Arial" w:eastAsiaTheme="minorHAnsi" w:hAnsi="Arial" w:cs="Arial"/>
          <w:b w:val="0"/>
          <w:i/>
          <w:iCs/>
        </w:rPr>
        <w:t xml:space="preserve"> Se indique si los particulares pueden presentar estudios técnicos especializados (hidráulicos, hidrológicos o de riesgo) para efectos de solicitar la revisión, ajuste o redefinición de las determinantes ambientales, y en qué condiciones dichos estudios pueden ser validados por esa autoridad ambiental.</w:t>
      </w:r>
    </w:p>
    <w:p w14:paraId="408C8018" w14:textId="77777777" w:rsidR="002C6E32" w:rsidRDefault="002C6E32" w:rsidP="00DD45F5">
      <w:pPr>
        <w:jc w:val="both"/>
        <w:rPr>
          <w:rFonts w:ascii="Arial" w:eastAsiaTheme="minorHAnsi" w:hAnsi="Arial" w:cs="Arial"/>
          <w:b w:val="0"/>
        </w:rPr>
      </w:pPr>
    </w:p>
    <w:p w14:paraId="3915A00F" w14:textId="2AADF3DC" w:rsidR="00795261" w:rsidRPr="00795261" w:rsidRDefault="00795261" w:rsidP="00795261">
      <w:pPr>
        <w:jc w:val="both"/>
        <w:rPr>
          <w:rFonts w:ascii="Arial" w:eastAsiaTheme="minorHAnsi" w:hAnsi="Arial" w:cs="Arial"/>
          <w:b w:val="0"/>
        </w:rPr>
      </w:pPr>
      <w:r w:rsidRPr="00795261">
        <w:rPr>
          <w:rFonts w:ascii="Arial" w:eastAsiaTheme="minorHAnsi" w:hAnsi="Arial" w:cs="Arial"/>
          <w:bCs/>
        </w:rPr>
        <w:t>Respuesta:</w:t>
      </w:r>
      <w:r w:rsidRPr="00795261">
        <w:rPr>
          <w:rFonts w:ascii="Arial" w:eastAsiaTheme="minorHAnsi" w:hAnsi="Arial" w:cs="Arial"/>
          <w:b w:val="0"/>
        </w:rPr>
        <w:t xml:space="preserve"> Con respecto a la solicitud expresa de información la delimitación, se relaciona traslado a la SUBDIRECCIÓN DE RIESGO Y SEGURIDAD TERRITORIAL de la CDMB, bajo memorando SOPIT-261-2026, con el cual se dará respuesta a solicitud según sus competencias.</w:t>
      </w:r>
    </w:p>
    <w:p w14:paraId="7BE90ABE" w14:textId="77777777" w:rsidR="00795261" w:rsidRDefault="00795261" w:rsidP="00DD45F5">
      <w:pPr>
        <w:jc w:val="both"/>
        <w:rPr>
          <w:rFonts w:ascii="Arial" w:eastAsiaTheme="minorHAnsi" w:hAnsi="Arial" w:cs="Arial"/>
          <w:b w:val="0"/>
        </w:rPr>
      </w:pPr>
    </w:p>
    <w:p w14:paraId="6DA26FF3" w14:textId="4301FAEC" w:rsidR="00795261" w:rsidRDefault="00BA172B" w:rsidP="00BA172B">
      <w:pPr>
        <w:jc w:val="both"/>
        <w:rPr>
          <w:rFonts w:ascii="Arial" w:eastAsiaTheme="minorHAnsi" w:hAnsi="Arial" w:cs="Arial"/>
          <w:b w:val="0"/>
        </w:rPr>
      </w:pPr>
      <w:r w:rsidRPr="00BA172B">
        <w:rPr>
          <w:rFonts w:ascii="Arial" w:eastAsiaTheme="minorHAnsi" w:hAnsi="Arial" w:cs="Arial"/>
          <w:bCs/>
          <w:i/>
          <w:iCs/>
        </w:rPr>
        <w:t>DÉCIMO.</w:t>
      </w:r>
      <w:r w:rsidRPr="00BA172B">
        <w:rPr>
          <w:rFonts w:ascii="Arial" w:eastAsiaTheme="minorHAnsi" w:hAnsi="Arial" w:cs="Arial"/>
          <w:b w:val="0"/>
          <w:i/>
          <w:iCs/>
        </w:rPr>
        <w:t xml:space="preserve"> Se informe si existen obras de mitigación del riesgo (actuales o proyectadas) en el sector del Río de Oro colindante con los predios, indicando su naturaleza, alcance, responsables de ejecución y efectos sobre la reducción del riesgo</w:t>
      </w:r>
      <w:r w:rsidRPr="00BA172B">
        <w:rPr>
          <w:rFonts w:ascii="Arial" w:eastAsiaTheme="minorHAnsi" w:hAnsi="Arial" w:cs="Arial"/>
          <w:b w:val="0"/>
        </w:rPr>
        <w:t>.</w:t>
      </w:r>
    </w:p>
    <w:p w14:paraId="21CC9AB5" w14:textId="77777777" w:rsidR="00795261" w:rsidRDefault="00795261" w:rsidP="00DD45F5">
      <w:pPr>
        <w:jc w:val="both"/>
        <w:rPr>
          <w:rFonts w:ascii="Arial" w:eastAsiaTheme="minorHAnsi" w:hAnsi="Arial" w:cs="Arial"/>
          <w:b w:val="0"/>
        </w:rPr>
      </w:pPr>
    </w:p>
    <w:p w14:paraId="60AAF465" w14:textId="6E711862" w:rsidR="00BA172B" w:rsidRPr="00BA172B" w:rsidRDefault="00BA172B" w:rsidP="00BA172B">
      <w:pPr>
        <w:jc w:val="both"/>
        <w:rPr>
          <w:rFonts w:ascii="Arial" w:eastAsiaTheme="minorHAnsi" w:hAnsi="Arial" w:cs="Arial"/>
          <w:b w:val="0"/>
        </w:rPr>
      </w:pPr>
      <w:r w:rsidRPr="00BA172B">
        <w:rPr>
          <w:rFonts w:ascii="Arial" w:eastAsiaTheme="minorHAnsi" w:hAnsi="Arial" w:cs="Arial"/>
          <w:bCs/>
        </w:rPr>
        <w:t>Respuesta:</w:t>
      </w:r>
      <w:r w:rsidRPr="00BA172B">
        <w:rPr>
          <w:rFonts w:ascii="Arial" w:eastAsiaTheme="minorHAnsi" w:hAnsi="Arial" w:cs="Arial"/>
          <w:b w:val="0"/>
        </w:rPr>
        <w:t xml:space="preserve"> Con respecto a la solicitud expresa de información la delimitación, se relaciona traslado a la SUBDIRECCIÓN DE RIESGO Y SEGURIDAD TERRITORIAL de la CDMB, bajo memorando SOPIT-261-2026, con el cual se dará respuesta a solicitud según sus competencias.</w:t>
      </w:r>
    </w:p>
    <w:p w14:paraId="62E22FD0" w14:textId="77777777" w:rsidR="00795261" w:rsidRPr="001543B6" w:rsidRDefault="00795261" w:rsidP="00DD45F5">
      <w:pPr>
        <w:jc w:val="both"/>
        <w:rPr>
          <w:rFonts w:ascii="Arial" w:eastAsiaTheme="minorHAnsi" w:hAnsi="Arial" w:cs="Arial"/>
          <w:b w:val="0"/>
        </w:rPr>
      </w:pPr>
    </w:p>
    <w:p w14:paraId="70181CF2" w14:textId="5633CACF" w:rsidR="00BA172B" w:rsidRPr="001543B6" w:rsidRDefault="001543B6" w:rsidP="001543B6">
      <w:pPr>
        <w:jc w:val="both"/>
        <w:rPr>
          <w:rFonts w:ascii="Arial" w:eastAsiaTheme="minorHAnsi" w:hAnsi="Arial" w:cs="Arial"/>
          <w:b w:val="0"/>
          <w:i/>
          <w:iCs/>
        </w:rPr>
      </w:pPr>
      <w:r w:rsidRPr="001543B6">
        <w:rPr>
          <w:rFonts w:ascii="Arial" w:eastAsiaTheme="minorHAnsi" w:hAnsi="Arial" w:cs="Arial"/>
          <w:bCs/>
          <w:i/>
          <w:iCs/>
        </w:rPr>
        <w:t>DÉCIMO PRIMERO</w:t>
      </w:r>
      <w:r w:rsidRPr="001543B6">
        <w:rPr>
          <w:rFonts w:ascii="Arial" w:eastAsiaTheme="minorHAnsi" w:hAnsi="Arial" w:cs="Arial"/>
          <w:b w:val="0"/>
          <w:i/>
          <w:iCs/>
        </w:rPr>
        <w:t>. Se indique si la existencia de infraestructura como redes de alcantarillado (en particular la servidumbre constituida a favor de EMPAS S.A. E.S.P.) ha sido considerada dentro de los estudios de riesgo y delimitación ambiental del sector.</w:t>
      </w:r>
    </w:p>
    <w:p w14:paraId="7D9538A4" w14:textId="77777777" w:rsidR="00BA172B" w:rsidRDefault="00BA172B" w:rsidP="00DD45F5">
      <w:pPr>
        <w:jc w:val="both"/>
        <w:rPr>
          <w:rFonts w:ascii="Arial" w:eastAsiaTheme="minorHAnsi" w:hAnsi="Arial" w:cs="Arial"/>
          <w:b w:val="0"/>
        </w:rPr>
      </w:pPr>
    </w:p>
    <w:p w14:paraId="1F235E21" w14:textId="03C1632A" w:rsidR="001543B6" w:rsidRPr="00BA172B" w:rsidRDefault="001543B6" w:rsidP="001543B6">
      <w:pPr>
        <w:jc w:val="both"/>
        <w:rPr>
          <w:rFonts w:ascii="Arial" w:eastAsiaTheme="minorHAnsi" w:hAnsi="Arial" w:cs="Arial"/>
          <w:b w:val="0"/>
        </w:rPr>
      </w:pPr>
      <w:r w:rsidRPr="00BA172B">
        <w:rPr>
          <w:rFonts w:ascii="Arial" w:eastAsiaTheme="minorHAnsi" w:hAnsi="Arial" w:cs="Arial"/>
          <w:bCs/>
        </w:rPr>
        <w:t>Respuesta:</w:t>
      </w:r>
      <w:r w:rsidRPr="00BA172B">
        <w:rPr>
          <w:rFonts w:ascii="Arial" w:eastAsiaTheme="minorHAnsi" w:hAnsi="Arial" w:cs="Arial"/>
          <w:b w:val="0"/>
        </w:rPr>
        <w:t xml:space="preserve"> Con respecto a la solicitud expresa de información la delimitación, se relaciona traslado a la SUBDIRECCIÓN DE RIESGO Y SEGURIDAD TERRITORIAL de la CDMB, bajo memorando SOPIT-261-2026, con el cual se dará respuesta a solicitud según sus competencias.</w:t>
      </w:r>
    </w:p>
    <w:p w14:paraId="208A4FC9" w14:textId="77777777" w:rsidR="001543B6" w:rsidRDefault="001543B6" w:rsidP="00DD45F5">
      <w:pPr>
        <w:jc w:val="both"/>
        <w:rPr>
          <w:rFonts w:ascii="Arial" w:eastAsiaTheme="minorHAnsi" w:hAnsi="Arial" w:cs="Arial"/>
          <w:b w:val="0"/>
        </w:rPr>
      </w:pPr>
    </w:p>
    <w:p w14:paraId="726E40A5" w14:textId="544DC6C2" w:rsidR="001543B6" w:rsidRPr="007B73B5" w:rsidRDefault="007B73B5" w:rsidP="007B73B5">
      <w:pPr>
        <w:jc w:val="both"/>
        <w:rPr>
          <w:rFonts w:ascii="Arial" w:eastAsiaTheme="minorHAnsi" w:hAnsi="Arial" w:cs="Arial"/>
          <w:b w:val="0"/>
          <w:i/>
          <w:iCs/>
        </w:rPr>
      </w:pPr>
      <w:r w:rsidRPr="007B73B5">
        <w:rPr>
          <w:rFonts w:ascii="Arial" w:eastAsiaTheme="minorHAnsi" w:hAnsi="Arial" w:cs="Arial"/>
          <w:bCs/>
          <w:i/>
          <w:iCs/>
        </w:rPr>
        <w:t>DÉCIMO SEGUNDO.</w:t>
      </w:r>
      <w:r w:rsidRPr="007B73B5">
        <w:rPr>
          <w:rFonts w:ascii="Arial" w:eastAsiaTheme="minorHAnsi" w:hAnsi="Arial" w:cs="Arial"/>
          <w:b w:val="0"/>
          <w:i/>
          <w:iCs/>
        </w:rPr>
        <w:t xml:space="preserve"> Se informe si desde el punto de vista técnico y ambiental es posible la coexistencia de desarrollo urbano condicionado con medidas de mitigación del riesgo en el área objeto de análisis.</w:t>
      </w:r>
    </w:p>
    <w:p w14:paraId="0F053143" w14:textId="77777777" w:rsidR="001543B6" w:rsidRDefault="001543B6" w:rsidP="00DD45F5">
      <w:pPr>
        <w:jc w:val="both"/>
        <w:rPr>
          <w:rFonts w:ascii="Arial" w:eastAsiaTheme="minorHAnsi" w:hAnsi="Arial" w:cs="Arial"/>
          <w:b w:val="0"/>
        </w:rPr>
      </w:pPr>
    </w:p>
    <w:p w14:paraId="1ADA6046" w14:textId="359ABCF1" w:rsidR="007B73B5" w:rsidRPr="00BA172B" w:rsidRDefault="007B73B5" w:rsidP="007B73B5">
      <w:pPr>
        <w:jc w:val="both"/>
        <w:rPr>
          <w:rFonts w:ascii="Arial" w:eastAsiaTheme="minorHAnsi" w:hAnsi="Arial" w:cs="Arial"/>
          <w:b w:val="0"/>
        </w:rPr>
      </w:pPr>
      <w:r w:rsidRPr="00BA172B">
        <w:rPr>
          <w:rFonts w:ascii="Arial" w:eastAsiaTheme="minorHAnsi" w:hAnsi="Arial" w:cs="Arial"/>
          <w:bCs/>
        </w:rPr>
        <w:lastRenderedPageBreak/>
        <w:t>Respuesta:</w:t>
      </w:r>
      <w:r w:rsidRPr="00BA172B">
        <w:rPr>
          <w:rFonts w:ascii="Arial" w:eastAsiaTheme="minorHAnsi" w:hAnsi="Arial" w:cs="Arial"/>
          <w:b w:val="0"/>
        </w:rPr>
        <w:t xml:space="preserve"> Con respecto a la solicitud expresa de información la delimitación, se relaciona traslado</w:t>
      </w:r>
      <w:r w:rsidR="00305F4D">
        <w:rPr>
          <w:rFonts w:ascii="Arial" w:eastAsiaTheme="minorHAnsi" w:hAnsi="Arial" w:cs="Arial"/>
          <w:b w:val="0"/>
        </w:rPr>
        <w:t xml:space="preserve"> </w:t>
      </w:r>
      <w:r w:rsidRPr="00BA172B">
        <w:rPr>
          <w:rFonts w:ascii="Arial" w:eastAsiaTheme="minorHAnsi" w:hAnsi="Arial" w:cs="Arial"/>
          <w:b w:val="0"/>
        </w:rPr>
        <w:t>a la SUBDIRECCIÓN DE RIESGO Y SEGURIDAD TERRITORIAL de la CDMB, bajo memorando SOPIT-261-2026, con el cual se dará respuesta a solicitud según sus competencias.</w:t>
      </w:r>
    </w:p>
    <w:p w14:paraId="01196CF9" w14:textId="77777777" w:rsidR="001543B6" w:rsidRDefault="001543B6" w:rsidP="00DD45F5">
      <w:pPr>
        <w:jc w:val="both"/>
        <w:rPr>
          <w:rFonts w:ascii="Arial" w:eastAsiaTheme="minorHAnsi" w:hAnsi="Arial" w:cs="Arial"/>
          <w:b w:val="0"/>
        </w:rPr>
      </w:pPr>
    </w:p>
    <w:p w14:paraId="075555B7" w14:textId="77777777" w:rsidR="007B73B5" w:rsidRDefault="007B73B5" w:rsidP="00DD45F5">
      <w:pPr>
        <w:jc w:val="both"/>
        <w:rPr>
          <w:rFonts w:ascii="Arial" w:eastAsiaTheme="minorHAnsi" w:hAnsi="Arial" w:cs="Arial"/>
          <w:b w:val="0"/>
        </w:rPr>
      </w:pPr>
    </w:p>
    <w:p w14:paraId="2447E145" w14:textId="47A67203" w:rsidR="00DD45F5" w:rsidRPr="00DD45F5" w:rsidRDefault="00DD45F5" w:rsidP="00DD45F5">
      <w:pPr>
        <w:jc w:val="both"/>
        <w:rPr>
          <w:rFonts w:ascii="Arial" w:eastAsiaTheme="minorHAnsi" w:hAnsi="Arial" w:cs="Arial"/>
          <w:bCs/>
        </w:rPr>
      </w:pPr>
      <w:r w:rsidRPr="00DD45F5">
        <w:rPr>
          <w:rFonts w:ascii="Arial" w:eastAsiaTheme="minorHAnsi" w:hAnsi="Arial" w:cs="Arial"/>
          <w:b w:val="0"/>
        </w:rPr>
        <w:t xml:space="preserve">Es importante señalar que la información suministrada en la presente </w:t>
      </w:r>
      <w:r w:rsidR="00640B6E" w:rsidRPr="00DD45F5">
        <w:rPr>
          <w:rFonts w:ascii="Arial" w:eastAsiaTheme="minorHAnsi" w:hAnsi="Arial" w:cs="Arial"/>
          <w:b w:val="0"/>
        </w:rPr>
        <w:t>comunicación</w:t>
      </w:r>
      <w:r w:rsidRPr="00DD45F5">
        <w:rPr>
          <w:rFonts w:ascii="Arial" w:eastAsiaTheme="minorHAnsi" w:hAnsi="Arial" w:cs="Arial"/>
          <w:b w:val="0"/>
        </w:rPr>
        <w:t xml:space="preserve"> </w:t>
      </w:r>
      <w:r w:rsidRPr="00DD45F5">
        <w:rPr>
          <w:rFonts w:ascii="Arial" w:eastAsiaTheme="minorHAnsi" w:hAnsi="Arial" w:cs="Arial"/>
          <w:bCs/>
        </w:rPr>
        <w:t>no es un permiso, licencia, ni documento que autorice la realización, ni ejecución de ningún tipo de proyecto (minero, urbanístico, arquitectónico, movimiento de tierra, aprovechamiento forestal y demás).</w:t>
      </w:r>
    </w:p>
    <w:p w14:paraId="0EDC1010" w14:textId="77777777" w:rsidR="004F3B17" w:rsidRPr="00975F27" w:rsidRDefault="004F3B17" w:rsidP="00975F27">
      <w:pPr>
        <w:rPr>
          <w:rFonts w:ascii="Arial" w:eastAsiaTheme="minorHAnsi" w:hAnsi="Arial" w:cs="Arial"/>
          <w:b w:val="0"/>
        </w:rPr>
      </w:pPr>
    </w:p>
    <w:p w14:paraId="4E22E326" w14:textId="70C04E47" w:rsidR="00975F27" w:rsidRDefault="00A54D85" w:rsidP="00975F27">
      <w:pPr>
        <w:jc w:val="both"/>
        <w:rPr>
          <w:rFonts w:ascii="Arial" w:eastAsiaTheme="minorHAnsi" w:hAnsi="Arial" w:cs="Arial"/>
          <w:b w:val="0"/>
        </w:rPr>
      </w:pPr>
      <w:r>
        <w:rPr>
          <w:rFonts w:ascii="Arial" w:eastAsiaTheme="minorHAnsi" w:hAnsi="Arial" w:cs="Arial"/>
          <w:b w:val="0"/>
        </w:rPr>
        <w:t>Atentamente,</w:t>
      </w:r>
    </w:p>
    <w:p w14:paraId="3F5DEFE4" w14:textId="77777777" w:rsidR="00A54D85" w:rsidRPr="00975F27" w:rsidRDefault="00A54D85" w:rsidP="00975F27">
      <w:pPr>
        <w:jc w:val="both"/>
        <w:rPr>
          <w:rFonts w:ascii="Arial" w:eastAsiaTheme="minorHAnsi" w:hAnsi="Arial" w:cs="Arial"/>
          <w:b w:val="0"/>
        </w:rPr>
      </w:pPr>
    </w:p>
    <w:p w14:paraId="66FD156D" w14:textId="77777777" w:rsidR="00A54D85" w:rsidRDefault="00A54D85" w:rsidP="00043699">
      <w:pPr>
        <w:jc w:val="both"/>
        <w:rPr>
          <w:rFonts w:ascii="Arial" w:hAnsi="Arial" w:cs="Arial"/>
          <w:b w:val="0"/>
        </w:rPr>
      </w:pPr>
    </w:p>
    <w:p w14:paraId="5C3C8EA0" w14:textId="77777777" w:rsidR="006079C7" w:rsidRDefault="006079C7" w:rsidP="00043699">
      <w:pPr>
        <w:jc w:val="both"/>
        <w:rPr>
          <w:rFonts w:ascii="Arial" w:hAnsi="Arial" w:cs="Arial"/>
          <w:b w:val="0"/>
        </w:rPr>
      </w:pPr>
    </w:p>
    <w:p w14:paraId="5BB02217" w14:textId="77777777" w:rsidR="006079C7" w:rsidRDefault="006079C7" w:rsidP="00043699">
      <w:pPr>
        <w:jc w:val="both"/>
        <w:rPr>
          <w:rFonts w:ascii="Arial" w:hAnsi="Arial" w:cs="Arial"/>
          <w:b w:val="0"/>
        </w:rPr>
      </w:pPr>
    </w:p>
    <w:p w14:paraId="73D8665C" w14:textId="6CD85D5B" w:rsidR="00403A4D" w:rsidRDefault="00C541ED" w:rsidP="00043699">
      <w:pPr>
        <w:jc w:val="both"/>
        <w:rPr>
          <w:rFonts w:ascii="Arial" w:hAnsi="Arial" w:cs="Arial"/>
          <w:b w:val="0"/>
          <w:i/>
          <w:sz w:val="20"/>
          <w:szCs w:val="20"/>
        </w:rPr>
      </w:pPr>
      <w:r>
        <w:rPr>
          <w:rFonts w:ascii="Arial" w:hAnsi="Arial" w:cs="Arial"/>
          <w:b w:val="0"/>
          <w:i/>
          <w:sz w:val="20"/>
          <w:szCs w:val="20"/>
        </w:rPr>
        <w:t xml:space="preserve">          </w:t>
      </w:r>
    </w:p>
    <w:p w14:paraId="760E93D5" w14:textId="77777777" w:rsidR="00043699" w:rsidRPr="00AF2705" w:rsidRDefault="00043699" w:rsidP="00043699">
      <w:pPr>
        <w:rPr>
          <w:rStyle w:val="Fuerte"/>
          <w:rFonts w:ascii="Arial" w:eastAsia="Times New Roman" w:hAnsi="Arial" w:cs="Arial"/>
          <w:b/>
        </w:rPr>
      </w:pPr>
      <w:r w:rsidRPr="00AF2705">
        <w:rPr>
          <w:rStyle w:val="Fuerte"/>
          <w:rFonts w:ascii="Arial" w:eastAsia="Times New Roman" w:hAnsi="Arial" w:cs="Arial"/>
          <w:b/>
        </w:rPr>
        <w:t>LEONEL ENRIQUE HERRERA ROA</w:t>
      </w:r>
    </w:p>
    <w:p w14:paraId="284A4B04" w14:textId="537B30DD" w:rsidR="00043699" w:rsidRDefault="00043699" w:rsidP="00043699">
      <w:pPr>
        <w:rPr>
          <w:rFonts w:ascii="Arial" w:hAnsi="Arial" w:cs="Arial"/>
          <w:b w:val="0"/>
        </w:rPr>
      </w:pPr>
      <w:r w:rsidRPr="00561312">
        <w:rPr>
          <w:rFonts w:ascii="Arial" w:hAnsi="Arial" w:cs="Arial"/>
          <w:b w:val="0"/>
        </w:rPr>
        <w:t>Subdirector Ordenamiento y Planificación Integral del Territorio.</w:t>
      </w:r>
    </w:p>
    <w:p w14:paraId="191C4C29" w14:textId="77777777" w:rsidR="004F3B17" w:rsidRPr="00C3427B" w:rsidRDefault="004F3B17" w:rsidP="00043699">
      <w:pPr>
        <w:rPr>
          <w:rFonts w:ascii="Arial" w:hAnsi="Arial" w:cs="Arial"/>
          <w:b w:val="0"/>
          <w:sz w:val="16"/>
          <w:szCs w:val="16"/>
        </w:rPr>
      </w:pPr>
    </w:p>
    <w:p w14:paraId="4451A94B" w14:textId="0CB2161B" w:rsidR="00E30F85" w:rsidRPr="00C3427B" w:rsidRDefault="00E30F85" w:rsidP="00E30F85">
      <w:pPr>
        <w:widowControl w:val="0"/>
        <w:spacing w:line="259" w:lineRule="auto"/>
        <w:ind w:left="851" w:hanging="851"/>
        <w:jc w:val="both"/>
        <w:rPr>
          <w:rFonts w:ascii="Arial" w:hAnsi="Arial" w:cs="Arial"/>
          <w:b w:val="0"/>
          <w:color w:val="000000"/>
          <w:sz w:val="16"/>
          <w:szCs w:val="16"/>
          <w:shd w:val="clear" w:color="auto" w:fill="FFFFFF"/>
        </w:rPr>
      </w:pPr>
      <w:r w:rsidRPr="00C3427B">
        <w:rPr>
          <w:rFonts w:ascii="Arial" w:hAnsi="Arial" w:cs="Arial"/>
          <w:b w:val="0"/>
          <w:sz w:val="16"/>
          <w:szCs w:val="16"/>
        </w:rPr>
        <w:t xml:space="preserve">Anexos: 01. </w:t>
      </w:r>
      <w:r w:rsidRPr="00C3427B">
        <w:rPr>
          <w:rFonts w:ascii="Arial" w:hAnsi="Arial" w:cs="Arial"/>
          <w:b w:val="0"/>
          <w:color w:val="000000"/>
          <w:sz w:val="16"/>
          <w:szCs w:val="16"/>
          <w:shd w:val="clear" w:color="auto" w:fill="FFFFFF"/>
        </w:rPr>
        <w:t>Salida cartográfica Zonificación Ambiental del POMCA LEBRIJA MEDIO, adoptado mediante Resolución CDMB N° 1728 de 27 de diciembre de 2019.</w:t>
      </w:r>
    </w:p>
    <w:p w14:paraId="1E69B538" w14:textId="66D84B42" w:rsidR="00D35DCC" w:rsidRPr="00C3427B" w:rsidRDefault="00D35DCC" w:rsidP="00D35DCC">
      <w:pPr>
        <w:widowControl w:val="0"/>
        <w:spacing w:line="259" w:lineRule="auto"/>
        <w:ind w:left="1418" w:hanging="851"/>
        <w:jc w:val="both"/>
        <w:rPr>
          <w:rFonts w:ascii="Arial" w:hAnsi="Arial" w:cs="Arial"/>
          <w:b w:val="0"/>
          <w:color w:val="000000"/>
          <w:sz w:val="16"/>
          <w:szCs w:val="16"/>
          <w:shd w:val="clear" w:color="auto" w:fill="FFFFFF"/>
        </w:rPr>
      </w:pPr>
      <w:r w:rsidRPr="00C3427B">
        <w:rPr>
          <w:rFonts w:ascii="Arial" w:hAnsi="Arial" w:cs="Arial"/>
          <w:b w:val="0"/>
          <w:sz w:val="16"/>
          <w:szCs w:val="16"/>
        </w:rPr>
        <w:t>0</w:t>
      </w:r>
      <w:r w:rsidR="00C3427B" w:rsidRPr="00C3427B">
        <w:rPr>
          <w:rFonts w:ascii="Arial" w:hAnsi="Arial" w:cs="Arial"/>
          <w:b w:val="0"/>
          <w:sz w:val="16"/>
          <w:szCs w:val="16"/>
        </w:rPr>
        <w:t>2</w:t>
      </w:r>
      <w:r w:rsidRPr="00C3427B">
        <w:rPr>
          <w:rFonts w:ascii="Arial" w:hAnsi="Arial" w:cs="Arial"/>
          <w:b w:val="0"/>
          <w:sz w:val="16"/>
          <w:szCs w:val="16"/>
        </w:rPr>
        <w:t xml:space="preserve">. </w:t>
      </w:r>
      <w:r w:rsidRPr="00C3427B">
        <w:rPr>
          <w:rFonts w:ascii="Arial" w:hAnsi="Arial" w:cs="Arial"/>
          <w:b w:val="0"/>
          <w:color w:val="000000"/>
          <w:sz w:val="16"/>
          <w:szCs w:val="16"/>
          <w:shd w:val="clear" w:color="auto" w:fill="FFFFFF"/>
        </w:rPr>
        <w:t>Salida cartográfica Zonificación Ambiental del POMCA LEBRIJA MEDIO, adoptado mediante Resolución CDMB N° 1728 de 27 de diciembre de 2019 AMENAZA POR INUNDACIÓN.</w:t>
      </w:r>
      <w:r w:rsidR="003C2850" w:rsidRPr="003C2850">
        <w:rPr>
          <w:rFonts w:ascii="Arial" w:hAnsi="Arial" w:cs="Arial"/>
          <w:b w:val="0"/>
          <w:sz w:val="16"/>
          <w:szCs w:val="16"/>
        </w:rPr>
        <w:t xml:space="preserve"> </w:t>
      </w:r>
      <w:r w:rsidR="003C2850">
        <w:rPr>
          <w:rFonts w:ascii="Arial" w:hAnsi="Arial" w:cs="Arial"/>
          <w:b w:val="0"/>
          <w:sz w:val="16"/>
          <w:szCs w:val="16"/>
        </w:rPr>
        <w:t>COTA DE INUNDACIÓN.</w:t>
      </w:r>
    </w:p>
    <w:p w14:paraId="52A34264" w14:textId="51D0D41D" w:rsidR="00C3427B" w:rsidRPr="00C3427B" w:rsidRDefault="00C3427B" w:rsidP="00C3427B">
      <w:pPr>
        <w:widowControl w:val="0"/>
        <w:spacing w:line="259" w:lineRule="auto"/>
        <w:ind w:left="1418" w:hanging="851"/>
        <w:jc w:val="both"/>
        <w:rPr>
          <w:rFonts w:ascii="Arial" w:hAnsi="Arial" w:cs="Arial"/>
          <w:b w:val="0"/>
          <w:sz w:val="16"/>
          <w:szCs w:val="16"/>
        </w:rPr>
      </w:pPr>
      <w:r w:rsidRPr="00C3427B">
        <w:rPr>
          <w:rFonts w:ascii="Arial" w:hAnsi="Arial" w:cs="Arial"/>
          <w:b w:val="0"/>
          <w:sz w:val="16"/>
          <w:szCs w:val="16"/>
        </w:rPr>
        <w:t>0</w:t>
      </w:r>
      <w:r w:rsidR="003A4772">
        <w:rPr>
          <w:rFonts w:ascii="Arial" w:hAnsi="Arial" w:cs="Arial"/>
          <w:b w:val="0"/>
          <w:sz w:val="16"/>
          <w:szCs w:val="16"/>
        </w:rPr>
        <w:t>3</w:t>
      </w:r>
      <w:r w:rsidRPr="00C3427B">
        <w:rPr>
          <w:rFonts w:ascii="Arial" w:hAnsi="Arial" w:cs="Arial"/>
          <w:b w:val="0"/>
          <w:sz w:val="16"/>
          <w:szCs w:val="16"/>
        </w:rPr>
        <w:t>. Salida cartográfica Zonificación Ambiental del POMCA LEBRIJA MEDIO, adoptado mediante Resolución CDMB N° 1728 de 27 de diciembre de 2019 AMENAZA POR INUNDACIÓN</w:t>
      </w:r>
      <w:r w:rsidR="007E6FC7">
        <w:rPr>
          <w:rFonts w:ascii="Arial" w:hAnsi="Arial" w:cs="Arial"/>
          <w:b w:val="0"/>
          <w:sz w:val="16"/>
          <w:szCs w:val="16"/>
        </w:rPr>
        <w:t>.</w:t>
      </w:r>
    </w:p>
    <w:p w14:paraId="7F542411" w14:textId="5A4FD5B2" w:rsidR="00C3427B" w:rsidRPr="00C3427B" w:rsidRDefault="00C3427B" w:rsidP="00C3427B">
      <w:pPr>
        <w:widowControl w:val="0"/>
        <w:spacing w:line="259" w:lineRule="auto"/>
        <w:ind w:left="1418" w:hanging="851"/>
        <w:jc w:val="both"/>
        <w:rPr>
          <w:rFonts w:ascii="Arial" w:eastAsiaTheme="minorHAnsi" w:hAnsi="Arial" w:cstheme="minorBidi"/>
          <w:b w:val="0"/>
          <w:sz w:val="16"/>
          <w:szCs w:val="16"/>
        </w:rPr>
      </w:pPr>
      <w:r w:rsidRPr="00C3427B">
        <w:rPr>
          <w:rFonts w:ascii="Arial" w:eastAsiaTheme="minorHAnsi" w:hAnsi="Arial" w:cstheme="minorBidi"/>
          <w:b w:val="0"/>
          <w:sz w:val="16"/>
          <w:szCs w:val="16"/>
        </w:rPr>
        <w:t>0</w:t>
      </w:r>
      <w:r w:rsidR="003A4772">
        <w:rPr>
          <w:rFonts w:ascii="Arial" w:eastAsiaTheme="minorHAnsi" w:hAnsi="Arial" w:cstheme="minorBidi"/>
          <w:b w:val="0"/>
          <w:sz w:val="16"/>
          <w:szCs w:val="16"/>
        </w:rPr>
        <w:t>4</w:t>
      </w:r>
      <w:r w:rsidRPr="00C3427B">
        <w:rPr>
          <w:rFonts w:ascii="Arial" w:eastAsiaTheme="minorHAnsi" w:hAnsi="Arial" w:cstheme="minorBidi"/>
          <w:b w:val="0"/>
          <w:sz w:val="16"/>
          <w:szCs w:val="16"/>
        </w:rPr>
        <w:t xml:space="preserve">. </w:t>
      </w:r>
      <w:r w:rsidR="003A4772" w:rsidRPr="003A4772">
        <w:rPr>
          <w:rFonts w:ascii="Arial" w:eastAsiaTheme="minorHAnsi" w:hAnsi="Arial" w:cstheme="minorBidi"/>
          <w:b w:val="0"/>
          <w:sz w:val="16"/>
          <w:szCs w:val="16"/>
        </w:rPr>
        <w:t>Resolución CDMB 1688 de 23 de diciembre de 2019, Por la cual se actualiza las determinantes ambientales</w:t>
      </w:r>
      <w:r w:rsidR="003A4772">
        <w:rPr>
          <w:rFonts w:ascii="Arial" w:eastAsiaTheme="minorHAnsi" w:hAnsi="Arial" w:cstheme="minorBidi"/>
          <w:b w:val="0"/>
          <w:sz w:val="16"/>
          <w:szCs w:val="16"/>
        </w:rPr>
        <w:t>.</w:t>
      </w:r>
    </w:p>
    <w:p w14:paraId="1079C12B" w14:textId="738E537F" w:rsidR="00C3427B" w:rsidRPr="00C3427B" w:rsidRDefault="00C3427B" w:rsidP="00C3427B">
      <w:pPr>
        <w:widowControl w:val="0"/>
        <w:spacing w:line="259" w:lineRule="auto"/>
        <w:ind w:left="1418" w:hanging="851"/>
        <w:jc w:val="both"/>
        <w:rPr>
          <w:rFonts w:ascii="Arial" w:eastAsiaTheme="minorHAnsi" w:hAnsi="Arial" w:cstheme="minorBidi"/>
          <w:b w:val="0"/>
          <w:sz w:val="16"/>
          <w:szCs w:val="16"/>
        </w:rPr>
      </w:pPr>
      <w:r w:rsidRPr="00C3427B">
        <w:rPr>
          <w:rFonts w:ascii="Arial" w:eastAsiaTheme="minorHAnsi" w:hAnsi="Arial" w:cstheme="minorBidi"/>
          <w:b w:val="0"/>
          <w:sz w:val="16"/>
          <w:szCs w:val="16"/>
        </w:rPr>
        <w:t>0</w:t>
      </w:r>
      <w:r w:rsidR="008319E4">
        <w:rPr>
          <w:rFonts w:ascii="Arial" w:eastAsiaTheme="minorHAnsi" w:hAnsi="Arial" w:cstheme="minorBidi"/>
          <w:b w:val="0"/>
          <w:sz w:val="16"/>
          <w:szCs w:val="16"/>
        </w:rPr>
        <w:t>5</w:t>
      </w:r>
      <w:r w:rsidRPr="00C3427B">
        <w:rPr>
          <w:rFonts w:ascii="Arial" w:eastAsiaTheme="minorHAnsi" w:hAnsi="Arial" w:cstheme="minorBidi"/>
          <w:b w:val="0"/>
          <w:sz w:val="16"/>
          <w:szCs w:val="16"/>
        </w:rPr>
        <w:t xml:space="preserve">. </w:t>
      </w:r>
      <w:r w:rsidR="008319E4" w:rsidRPr="008319E4">
        <w:rPr>
          <w:rFonts w:ascii="Arial" w:eastAsiaTheme="minorHAnsi" w:hAnsi="Arial" w:cstheme="minorBidi"/>
          <w:b w:val="0"/>
          <w:sz w:val="16"/>
          <w:szCs w:val="16"/>
        </w:rPr>
        <w:t>Documento Técnico de Actualización de las determinantes ambientales para la elaboración y adopción de los planes de ordenamiento territorial</w:t>
      </w:r>
      <w:r w:rsidRPr="00C3427B">
        <w:rPr>
          <w:rFonts w:ascii="Arial" w:eastAsiaTheme="minorHAnsi" w:hAnsi="Arial" w:cstheme="minorBidi"/>
          <w:b w:val="0"/>
          <w:sz w:val="16"/>
          <w:szCs w:val="16"/>
        </w:rPr>
        <w:t>.</w:t>
      </w:r>
    </w:p>
    <w:p w14:paraId="30347A28" w14:textId="0E8A90AE" w:rsidR="00C3427B" w:rsidRPr="00C3427B" w:rsidRDefault="00C3427B" w:rsidP="00C3427B">
      <w:pPr>
        <w:widowControl w:val="0"/>
        <w:spacing w:line="259" w:lineRule="auto"/>
        <w:ind w:left="1418" w:hanging="851"/>
        <w:jc w:val="both"/>
        <w:rPr>
          <w:rFonts w:ascii="Arial" w:eastAsiaTheme="minorHAnsi" w:hAnsi="Arial" w:cstheme="minorBidi"/>
          <w:b w:val="0"/>
          <w:sz w:val="16"/>
          <w:szCs w:val="16"/>
        </w:rPr>
      </w:pPr>
      <w:r w:rsidRPr="00C3427B">
        <w:rPr>
          <w:rFonts w:ascii="Arial" w:eastAsiaTheme="minorHAnsi" w:hAnsi="Arial" w:cstheme="minorBidi"/>
          <w:b w:val="0"/>
          <w:sz w:val="16"/>
          <w:szCs w:val="16"/>
        </w:rPr>
        <w:t>0</w:t>
      </w:r>
      <w:r w:rsidR="007E6FC7">
        <w:rPr>
          <w:rFonts w:ascii="Arial" w:eastAsiaTheme="minorHAnsi" w:hAnsi="Arial" w:cstheme="minorBidi"/>
          <w:b w:val="0"/>
          <w:sz w:val="16"/>
          <w:szCs w:val="16"/>
        </w:rPr>
        <w:t>6</w:t>
      </w:r>
      <w:r w:rsidRPr="00C3427B">
        <w:rPr>
          <w:rFonts w:ascii="Arial" w:eastAsiaTheme="minorHAnsi" w:hAnsi="Arial" w:cstheme="minorBidi"/>
          <w:b w:val="0"/>
          <w:sz w:val="16"/>
          <w:szCs w:val="16"/>
        </w:rPr>
        <w:t xml:space="preserve">. </w:t>
      </w:r>
      <w:r w:rsidR="007E6FC7" w:rsidRPr="007E6FC7">
        <w:rPr>
          <w:rFonts w:ascii="Arial" w:eastAsiaTheme="minorHAnsi" w:hAnsi="Arial" w:cstheme="minorBidi"/>
          <w:b w:val="0"/>
          <w:sz w:val="16"/>
          <w:szCs w:val="16"/>
        </w:rPr>
        <w:t>Ficha Técnica General Determinantes Ambientales para el ordenamiento territorial del municipio de Bucaramanga.</w:t>
      </w:r>
    </w:p>
    <w:p w14:paraId="09B5D9D5" w14:textId="77777777" w:rsidR="00E30F85" w:rsidRDefault="00E30F85" w:rsidP="007D2669">
      <w:pPr>
        <w:ind w:left="705" w:hanging="705"/>
        <w:jc w:val="both"/>
        <w:rPr>
          <w:rFonts w:ascii="Arial" w:eastAsiaTheme="minorHAnsi" w:hAnsi="Arial" w:cstheme="minorBidi"/>
          <w:b w:val="0"/>
          <w:sz w:val="16"/>
          <w:szCs w:val="16"/>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51"/>
        <w:gridCol w:w="2989"/>
        <w:gridCol w:w="3160"/>
        <w:gridCol w:w="1394"/>
      </w:tblGrid>
      <w:tr w:rsidR="00924062" w14:paraId="0DD13E84" w14:textId="77777777" w:rsidTr="00551254">
        <w:tc>
          <w:tcPr>
            <w:tcW w:w="985" w:type="pct"/>
            <w:tcBorders>
              <w:top w:val="single" w:sz="4" w:space="0" w:color="000000"/>
              <w:left w:val="single" w:sz="4" w:space="0" w:color="000000"/>
              <w:right w:val="single" w:sz="4" w:space="0" w:color="000000"/>
            </w:tcBorders>
            <w:hideMark/>
          </w:tcPr>
          <w:p w14:paraId="69D1A511" w14:textId="77777777" w:rsidR="00924062" w:rsidRDefault="00924062" w:rsidP="00551254">
            <w:pPr>
              <w:rPr>
                <w:rFonts w:ascii="Arial" w:eastAsia="Arial" w:hAnsi="Arial" w:cs="Arial"/>
                <w:b w:val="0"/>
                <w:sz w:val="16"/>
                <w:szCs w:val="16"/>
              </w:rPr>
            </w:pPr>
            <w:r>
              <w:rPr>
                <w:rFonts w:ascii="Arial" w:eastAsia="Arial" w:hAnsi="Arial" w:cs="Arial"/>
                <w:b w:val="0"/>
                <w:sz w:val="16"/>
                <w:szCs w:val="16"/>
              </w:rPr>
              <w:t>Proyección Técnica:</w:t>
            </w:r>
          </w:p>
        </w:tc>
        <w:tc>
          <w:tcPr>
            <w:tcW w:w="1591" w:type="pct"/>
            <w:tcBorders>
              <w:top w:val="single" w:sz="4" w:space="0" w:color="000000"/>
              <w:left w:val="single" w:sz="4" w:space="0" w:color="000000"/>
              <w:bottom w:val="single" w:sz="4" w:space="0" w:color="000000"/>
              <w:right w:val="single" w:sz="4" w:space="0" w:color="000000"/>
            </w:tcBorders>
          </w:tcPr>
          <w:p w14:paraId="2AB662C8" w14:textId="77777777" w:rsidR="00924062" w:rsidRDefault="00924062" w:rsidP="00551254">
            <w:pPr>
              <w:rPr>
                <w:rFonts w:ascii="Arial" w:eastAsia="Arial" w:hAnsi="Arial" w:cs="Arial"/>
                <w:b w:val="0"/>
                <w:sz w:val="16"/>
                <w:szCs w:val="16"/>
              </w:rPr>
            </w:pPr>
            <w:r>
              <w:rPr>
                <w:rFonts w:ascii="Arial" w:eastAsia="Arial" w:hAnsi="Arial" w:cs="Arial"/>
                <w:b w:val="0"/>
                <w:sz w:val="16"/>
                <w:szCs w:val="16"/>
              </w:rPr>
              <w:t xml:space="preserve">Juan Guillermo Correa Mendoza </w:t>
            </w:r>
          </w:p>
        </w:tc>
        <w:tc>
          <w:tcPr>
            <w:tcW w:w="1682" w:type="pct"/>
            <w:tcBorders>
              <w:top w:val="single" w:sz="4" w:space="0" w:color="000000"/>
              <w:left w:val="single" w:sz="4" w:space="0" w:color="000000"/>
              <w:bottom w:val="single" w:sz="4" w:space="0" w:color="000000"/>
              <w:right w:val="single" w:sz="4" w:space="0" w:color="000000"/>
            </w:tcBorders>
          </w:tcPr>
          <w:p w14:paraId="31F851D2" w14:textId="77777777" w:rsidR="00924062" w:rsidRDefault="00924062" w:rsidP="00551254">
            <w:pPr>
              <w:rPr>
                <w:rFonts w:ascii="Arial" w:eastAsia="Arial" w:hAnsi="Arial" w:cs="Arial"/>
                <w:b w:val="0"/>
                <w:sz w:val="16"/>
                <w:szCs w:val="16"/>
              </w:rPr>
            </w:pPr>
            <w:r>
              <w:rPr>
                <w:rFonts w:ascii="Arial" w:eastAsia="Arial" w:hAnsi="Arial" w:cs="Arial"/>
                <w:b w:val="0"/>
                <w:sz w:val="16"/>
                <w:szCs w:val="16"/>
              </w:rPr>
              <w:t xml:space="preserve">Profesional Contratista SOPIT </w:t>
            </w:r>
          </w:p>
        </w:tc>
        <w:tc>
          <w:tcPr>
            <w:tcW w:w="742" w:type="pct"/>
            <w:tcBorders>
              <w:top w:val="single" w:sz="4" w:space="0" w:color="000000"/>
              <w:left w:val="single" w:sz="4" w:space="0" w:color="000000"/>
              <w:bottom w:val="single" w:sz="4" w:space="0" w:color="000000"/>
              <w:right w:val="single" w:sz="4" w:space="0" w:color="000000"/>
            </w:tcBorders>
            <w:hideMark/>
          </w:tcPr>
          <w:p w14:paraId="1E67C3DA" w14:textId="77777777" w:rsidR="00924062" w:rsidRDefault="00924062" w:rsidP="00551254">
            <w:pPr>
              <w:rPr>
                <w:rFonts w:ascii="Arial" w:eastAsia="Arial" w:hAnsi="Arial" w:cs="Arial"/>
                <w:b w:val="0"/>
                <w:sz w:val="16"/>
                <w:szCs w:val="16"/>
              </w:rPr>
            </w:pPr>
          </w:p>
        </w:tc>
      </w:tr>
      <w:tr w:rsidR="00924062" w14:paraId="012F991D" w14:textId="77777777" w:rsidTr="00551254">
        <w:tc>
          <w:tcPr>
            <w:tcW w:w="985" w:type="pct"/>
            <w:tcBorders>
              <w:left w:val="single" w:sz="4" w:space="0" w:color="000000"/>
              <w:bottom w:val="single" w:sz="4" w:space="0" w:color="000000"/>
              <w:right w:val="single" w:sz="4" w:space="0" w:color="000000"/>
            </w:tcBorders>
          </w:tcPr>
          <w:p w14:paraId="2EC99845" w14:textId="77777777" w:rsidR="00924062" w:rsidRDefault="00924062" w:rsidP="00551254">
            <w:pPr>
              <w:rPr>
                <w:rFonts w:ascii="Arial" w:eastAsia="Arial" w:hAnsi="Arial" w:cs="Arial"/>
                <w:b w:val="0"/>
                <w:sz w:val="16"/>
                <w:szCs w:val="16"/>
              </w:rPr>
            </w:pPr>
            <w:r>
              <w:rPr>
                <w:rFonts w:ascii="Arial" w:eastAsia="Arial" w:hAnsi="Arial" w:cs="Arial"/>
                <w:b w:val="0"/>
                <w:sz w:val="16"/>
                <w:szCs w:val="16"/>
              </w:rPr>
              <w:t>Revisó:</w:t>
            </w:r>
          </w:p>
        </w:tc>
        <w:tc>
          <w:tcPr>
            <w:tcW w:w="1591" w:type="pct"/>
            <w:tcBorders>
              <w:top w:val="single" w:sz="4" w:space="0" w:color="000000"/>
              <w:left w:val="single" w:sz="4" w:space="0" w:color="000000"/>
              <w:bottom w:val="single" w:sz="4" w:space="0" w:color="000000"/>
              <w:right w:val="single" w:sz="4" w:space="0" w:color="000000"/>
            </w:tcBorders>
          </w:tcPr>
          <w:p w14:paraId="06E35D72" w14:textId="77777777" w:rsidR="00924062" w:rsidRPr="00A96CE6" w:rsidRDefault="00924062" w:rsidP="00551254">
            <w:pPr>
              <w:rPr>
                <w:rFonts w:ascii="Arial" w:eastAsiaTheme="minorHAnsi" w:hAnsi="Arial" w:cs="Arial"/>
                <w:b w:val="0"/>
                <w:sz w:val="16"/>
                <w:szCs w:val="16"/>
              </w:rPr>
            </w:pPr>
            <w:r w:rsidRPr="00A96CE6">
              <w:rPr>
                <w:rFonts w:ascii="Arial" w:eastAsiaTheme="minorHAnsi" w:hAnsi="Arial" w:cs="Arial"/>
                <w:b w:val="0"/>
                <w:sz w:val="16"/>
                <w:szCs w:val="16"/>
              </w:rPr>
              <w:t>Laura Marcela Beltrán Mantilla</w:t>
            </w:r>
          </w:p>
        </w:tc>
        <w:tc>
          <w:tcPr>
            <w:tcW w:w="1682" w:type="pct"/>
            <w:tcBorders>
              <w:top w:val="single" w:sz="4" w:space="0" w:color="000000"/>
              <w:left w:val="single" w:sz="4" w:space="0" w:color="000000"/>
              <w:bottom w:val="single" w:sz="4" w:space="0" w:color="000000"/>
              <w:right w:val="single" w:sz="4" w:space="0" w:color="000000"/>
            </w:tcBorders>
          </w:tcPr>
          <w:p w14:paraId="5B8491BD" w14:textId="77777777" w:rsidR="00924062" w:rsidRDefault="00924062" w:rsidP="00551254">
            <w:pPr>
              <w:rPr>
                <w:rFonts w:ascii="Arial" w:eastAsia="Arial" w:hAnsi="Arial" w:cs="Arial"/>
                <w:b w:val="0"/>
                <w:sz w:val="16"/>
                <w:szCs w:val="16"/>
              </w:rPr>
            </w:pPr>
            <w:r>
              <w:rPr>
                <w:rFonts w:ascii="Arial" w:eastAsia="Arial" w:hAnsi="Arial" w:cs="Arial"/>
                <w:b w:val="0"/>
                <w:sz w:val="16"/>
                <w:szCs w:val="16"/>
              </w:rPr>
              <w:t>Profesional Especializada SOPIT CDMB</w:t>
            </w:r>
          </w:p>
        </w:tc>
        <w:tc>
          <w:tcPr>
            <w:tcW w:w="742" w:type="pct"/>
            <w:tcBorders>
              <w:top w:val="single" w:sz="4" w:space="0" w:color="000000"/>
              <w:left w:val="single" w:sz="4" w:space="0" w:color="000000"/>
              <w:bottom w:val="single" w:sz="4" w:space="0" w:color="000000"/>
              <w:right w:val="single" w:sz="4" w:space="0" w:color="000000"/>
            </w:tcBorders>
          </w:tcPr>
          <w:p w14:paraId="07D7E9C3" w14:textId="77777777" w:rsidR="00924062" w:rsidRDefault="00924062" w:rsidP="00551254">
            <w:pPr>
              <w:rPr>
                <w:rFonts w:ascii="Arial" w:eastAsia="Arial" w:hAnsi="Arial" w:cs="Arial"/>
                <w:b w:val="0"/>
                <w:sz w:val="16"/>
                <w:szCs w:val="16"/>
              </w:rPr>
            </w:pPr>
          </w:p>
        </w:tc>
      </w:tr>
      <w:tr w:rsidR="00924062" w14:paraId="6E65FAC5" w14:textId="77777777" w:rsidTr="00551254">
        <w:tc>
          <w:tcPr>
            <w:tcW w:w="985" w:type="pct"/>
            <w:tcBorders>
              <w:top w:val="single" w:sz="4" w:space="0" w:color="000000"/>
              <w:left w:val="single" w:sz="4" w:space="0" w:color="000000"/>
              <w:bottom w:val="single" w:sz="4" w:space="0" w:color="000000"/>
              <w:right w:val="single" w:sz="4" w:space="0" w:color="000000"/>
            </w:tcBorders>
            <w:hideMark/>
          </w:tcPr>
          <w:p w14:paraId="1A1194A6" w14:textId="77777777" w:rsidR="00924062" w:rsidRDefault="00924062" w:rsidP="00551254">
            <w:pPr>
              <w:rPr>
                <w:rFonts w:ascii="Arial" w:eastAsia="Arial" w:hAnsi="Arial" w:cs="Arial"/>
                <w:b w:val="0"/>
                <w:sz w:val="16"/>
                <w:szCs w:val="16"/>
              </w:rPr>
            </w:pPr>
            <w:r>
              <w:rPr>
                <w:rFonts w:ascii="Arial" w:eastAsia="Arial" w:hAnsi="Arial" w:cs="Arial"/>
                <w:b w:val="0"/>
                <w:sz w:val="16"/>
                <w:szCs w:val="16"/>
              </w:rPr>
              <w:t>Oficina Responsable:</w:t>
            </w:r>
          </w:p>
        </w:tc>
        <w:tc>
          <w:tcPr>
            <w:tcW w:w="4015" w:type="pct"/>
            <w:gridSpan w:val="3"/>
            <w:tcBorders>
              <w:top w:val="single" w:sz="4" w:space="0" w:color="000000"/>
              <w:left w:val="single" w:sz="4" w:space="0" w:color="000000"/>
              <w:bottom w:val="single" w:sz="4" w:space="0" w:color="000000"/>
              <w:right w:val="single" w:sz="4" w:space="0" w:color="000000"/>
            </w:tcBorders>
            <w:hideMark/>
          </w:tcPr>
          <w:p w14:paraId="2F80771A" w14:textId="77777777" w:rsidR="00924062" w:rsidRDefault="00924062" w:rsidP="00551254">
            <w:pPr>
              <w:rPr>
                <w:rFonts w:ascii="Arial" w:eastAsia="Arial" w:hAnsi="Arial" w:cs="Arial"/>
                <w:b w:val="0"/>
                <w:sz w:val="16"/>
                <w:szCs w:val="16"/>
              </w:rPr>
            </w:pPr>
            <w:r>
              <w:rPr>
                <w:rFonts w:ascii="Arial" w:eastAsia="Arial" w:hAnsi="Arial" w:cs="Arial"/>
                <w:b w:val="0"/>
                <w:sz w:val="16"/>
                <w:szCs w:val="16"/>
              </w:rPr>
              <w:t>Subdirección de Ordenamiento y Planificación Integral del Territorio -SOPIT</w:t>
            </w:r>
          </w:p>
        </w:tc>
      </w:tr>
    </w:tbl>
    <w:p w14:paraId="11BD6172" w14:textId="77777777" w:rsidR="004F3B17" w:rsidRDefault="004F3B17" w:rsidP="007D2669">
      <w:pPr>
        <w:ind w:left="705" w:hanging="705"/>
        <w:jc w:val="both"/>
        <w:rPr>
          <w:rFonts w:ascii="Arial" w:eastAsiaTheme="minorHAnsi" w:hAnsi="Arial" w:cstheme="minorBidi"/>
          <w:b w:val="0"/>
          <w:sz w:val="16"/>
          <w:szCs w:val="16"/>
        </w:rPr>
      </w:pPr>
    </w:p>
    <w:p w14:paraId="001E1510" w14:textId="77777777" w:rsidR="004F3B17" w:rsidRDefault="004F3B17" w:rsidP="007D2669">
      <w:pPr>
        <w:ind w:left="705" w:hanging="705"/>
        <w:jc w:val="both"/>
        <w:rPr>
          <w:rFonts w:ascii="Arial" w:eastAsiaTheme="minorHAnsi" w:hAnsi="Arial" w:cstheme="minorBidi"/>
          <w:b w:val="0"/>
          <w:sz w:val="16"/>
          <w:szCs w:val="16"/>
        </w:rPr>
      </w:pPr>
    </w:p>
    <w:p w14:paraId="239AAF61" w14:textId="77777777" w:rsidR="004F3B17" w:rsidRPr="007D4C52" w:rsidRDefault="004F3B17" w:rsidP="007D2669">
      <w:pPr>
        <w:ind w:left="705" w:hanging="705"/>
        <w:jc w:val="both"/>
        <w:rPr>
          <w:rFonts w:ascii="Arial" w:eastAsiaTheme="minorHAnsi" w:hAnsi="Arial" w:cstheme="minorBidi"/>
          <w:b w:val="0"/>
          <w:sz w:val="16"/>
          <w:szCs w:val="16"/>
        </w:rPr>
      </w:pPr>
    </w:p>
    <w:p w14:paraId="78CEEE24" w14:textId="225C7ED1" w:rsidR="00DD45F5" w:rsidRDefault="007D2669" w:rsidP="00DD45F5">
      <w:pPr>
        <w:ind w:left="705" w:hanging="705"/>
        <w:jc w:val="both"/>
        <w:rPr>
          <w:rFonts w:ascii="Arial" w:eastAsiaTheme="minorHAnsi" w:hAnsi="Arial" w:cstheme="minorBidi"/>
          <w:b w:val="0"/>
          <w:sz w:val="16"/>
          <w:szCs w:val="16"/>
        </w:rPr>
      </w:pPr>
      <w:r w:rsidRPr="007D2669">
        <w:rPr>
          <w:rFonts w:ascii="Arial" w:eastAsiaTheme="minorHAnsi" w:hAnsi="Arial" w:cstheme="minorBidi"/>
          <w:b w:val="0"/>
          <w:sz w:val="16"/>
          <w:szCs w:val="16"/>
        </w:rPr>
        <w:tab/>
      </w:r>
      <w:r w:rsidR="00DD45F5">
        <w:rPr>
          <w:rFonts w:ascii="Arial" w:eastAsiaTheme="minorHAnsi" w:hAnsi="Arial" w:cstheme="minorBidi"/>
          <w:b w:val="0"/>
          <w:sz w:val="16"/>
          <w:szCs w:val="16"/>
        </w:rPr>
        <w:br w:type="page"/>
      </w:r>
    </w:p>
    <w:p w14:paraId="1FF45DC3" w14:textId="246D1484" w:rsidR="005924CD" w:rsidRDefault="008F6F0B">
      <w:pPr>
        <w:spacing w:after="160" w:line="259" w:lineRule="auto"/>
        <w:rPr>
          <w:rFonts w:ascii="Arial" w:eastAsiaTheme="minorHAnsi" w:hAnsi="Arial" w:cstheme="minorBidi"/>
          <w:b w:val="0"/>
          <w:noProof/>
          <w:sz w:val="16"/>
          <w:szCs w:val="16"/>
        </w:rPr>
      </w:pPr>
      <w:r>
        <w:rPr>
          <w:rFonts w:ascii="Arial" w:eastAsiaTheme="minorHAnsi" w:hAnsi="Arial" w:cstheme="minorBidi"/>
          <w:b w:val="0"/>
          <w:noProof/>
          <w:sz w:val="16"/>
          <w:szCs w:val="16"/>
        </w:rPr>
        <w:lastRenderedPageBreak/>
        <w:drawing>
          <wp:anchor distT="0" distB="0" distL="114300" distR="114300" simplePos="0" relativeHeight="251658240" behindDoc="0" locked="0" layoutInCell="1" allowOverlap="1" wp14:anchorId="1B9CA56A" wp14:editId="052803BE">
            <wp:simplePos x="0" y="0"/>
            <wp:positionH relativeFrom="page">
              <wp:align>right</wp:align>
            </wp:positionH>
            <wp:positionV relativeFrom="paragraph">
              <wp:posOffset>-1260475</wp:posOffset>
            </wp:positionV>
            <wp:extent cx="7764919" cy="10048875"/>
            <wp:effectExtent l="0" t="0" r="7620" b="0"/>
            <wp:wrapNone/>
            <wp:docPr id="15188437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43793" name="Imagen 151884379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764919" cy="10048875"/>
                    </a:xfrm>
                    <a:prstGeom prst="rect">
                      <a:avLst/>
                    </a:prstGeom>
                  </pic:spPr>
                </pic:pic>
              </a:graphicData>
            </a:graphic>
            <wp14:sizeRelH relativeFrom="margin">
              <wp14:pctWidth>0</wp14:pctWidth>
            </wp14:sizeRelH>
            <wp14:sizeRelV relativeFrom="margin">
              <wp14:pctHeight>0</wp14:pctHeight>
            </wp14:sizeRelV>
          </wp:anchor>
        </w:drawing>
      </w:r>
    </w:p>
    <w:p w14:paraId="18C72939" w14:textId="18DE54EF" w:rsidR="005924CD" w:rsidRDefault="005924CD">
      <w:pPr>
        <w:spacing w:after="160" w:line="259" w:lineRule="auto"/>
        <w:rPr>
          <w:rFonts w:ascii="Arial" w:eastAsiaTheme="minorHAnsi" w:hAnsi="Arial" w:cstheme="minorBidi"/>
          <w:b w:val="0"/>
          <w:noProof/>
          <w:sz w:val="16"/>
          <w:szCs w:val="16"/>
        </w:rPr>
      </w:pPr>
    </w:p>
    <w:p w14:paraId="31BFA46A" w14:textId="77777777" w:rsidR="005924CD" w:rsidRDefault="005924CD">
      <w:pPr>
        <w:spacing w:after="160" w:line="259" w:lineRule="auto"/>
        <w:rPr>
          <w:rFonts w:ascii="Arial" w:eastAsiaTheme="minorHAnsi" w:hAnsi="Arial" w:cstheme="minorBidi"/>
          <w:b w:val="0"/>
          <w:noProof/>
          <w:sz w:val="16"/>
          <w:szCs w:val="16"/>
        </w:rPr>
      </w:pPr>
    </w:p>
    <w:p w14:paraId="1E1B4DBC" w14:textId="77777777" w:rsidR="005924CD" w:rsidRDefault="005924CD">
      <w:pPr>
        <w:spacing w:after="160" w:line="259" w:lineRule="auto"/>
        <w:rPr>
          <w:rFonts w:ascii="Arial" w:eastAsiaTheme="minorHAnsi" w:hAnsi="Arial" w:cstheme="minorBidi"/>
          <w:b w:val="0"/>
          <w:noProof/>
          <w:sz w:val="16"/>
          <w:szCs w:val="16"/>
        </w:rPr>
      </w:pPr>
    </w:p>
    <w:p w14:paraId="5179D24B" w14:textId="201343C3" w:rsidR="005924CD" w:rsidRDefault="005924CD">
      <w:pPr>
        <w:spacing w:after="160" w:line="259" w:lineRule="auto"/>
        <w:rPr>
          <w:rFonts w:ascii="Arial" w:eastAsiaTheme="minorHAnsi" w:hAnsi="Arial" w:cstheme="minorBidi"/>
          <w:b w:val="0"/>
          <w:noProof/>
          <w:sz w:val="16"/>
          <w:szCs w:val="16"/>
        </w:rPr>
      </w:pPr>
      <w:r>
        <w:rPr>
          <w:rFonts w:ascii="Arial" w:eastAsiaTheme="minorHAnsi" w:hAnsi="Arial" w:cstheme="minorBidi"/>
          <w:b w:val="0"/>
          <w:noProof/>
          <w:sz w:val="16"/>
          <w:szCs w:val="16"/>
        </w:rPr>
        <w:br w:type="page"/>
      </w:r>
    </w:p>
    <w:p w14:paraId="1A9E0B6A" w14:textId="7E0877BD" w:rsidR="00DD45F5" w:rsidRDefault="00C0050B" w:rsidP="00DD45F5">
      <w:pPr>
        <w:ind w:left="705" w:hanging="705"/>
        <w:jc w:val="both"/>
        <w:rPr>
          <w:rFonts w:ascii="Arial" w:eastAsiaTheme="minorHAnsi" w:hAnsi="Arial" w:cstheme="minorBidi"/>
          <w:b w:val="0"/>
          <w:sz w:val="16"/>
          <w:szCs w:val="16"/>
        </w:rPr>
      </w:pPr>
      <w:r>
        <w:rPr>
          <w:rFonts w:ascii="Arial" w:eastAsiaTheme="minorHAnsi" w:hAnsi="Arial" w:cstheme="minorBidi"/>
          <w:b w:val="0"/>
          <w:noProof/>
          <w:sz w:val="16"/>
          <w:szCs w:val="16"/>
        </w:rPr>
        <w:lastRenderedPageBreak/>
        <w:drawing>
          <wp:anchor distT="0" distB="0" distL="114300" distR="114300" simplePos="0" relativeHeight="251659264" behindDoc="0" locked="0" layoutInCell="1" allowOverlap="1" wp14:anchorId="25E67DFB" wp14:editId="2AF26080">
            <wp:simplePos x="0" y="0"/>
            <wp:positionH relativeFrom="page">
              <wp:align>left</wp:align>
            </wp:positionH>
            <wp:positionV relativeFrom="paragraph">
              <wp:posOffset>-1260829</wp:posOffset>
            </wp:positionV>
            <wp:extent cx="7788710" cy="10079665"/>
            <wp:effectExtent l="0" t="0" r="3175" b="0"/>
            <wp:wrapNone/>
            <wp:docPr id="6329438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943822" name="Imagen 63294382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800710" cy="10095194"/>
                    </a:xfrm>
                    <a:prstGeom prst="rect">
                      <a:avLst/>
                    </a:prstGeom>
                  </pic:spPr>
                </pic:pic>
              </a:graphicData>
            </a:graphic>
            <wp14:sizeRelH relativeFrom="margin">
              <wp14:pctWidth>0</wp14:pctWidth>
            </wp14:sizeRelH>
            <wp14:sizeRelV relativeFrom="margin">
              <wp14:pctHeight>0</wp14:pctHeight>
            </wp14:sizeRelV>
          </wp:anchor>
        </w:drawing>
      </w:r>
    </w:p>
    <w:p w14:paraId="4899B346" w14:textId="577AFCF9" w:rsidR="005924CD" w:rsidRDefault="005924CD" w:rsidP="00DD45F5">
      <w:pPr>
        <w:ind w:left="705" w:hanging="705"/>
        <w:jc w:val="both"/>
        <w:rPr>
          <w:rFonts w:ascii="Arial" w:eastAsiaTheme="minorHAnsi" w:hAnsi="Arial" w:cstheme="minorBidi"/>
          <w:b w:val="0"/>
          <w:sz w:val="16"/>
          <w:szCs w:val="16"/>
        </w:rPr>
      </w:pPr>
    </w:p>
    <w:p w14:paraId="70A0CB1D" w14:textId="77777777" w:rsidR="005924CD" w:rsidRDefault="005924CD" w:rsidP="00DD45F5">
      <w:pPr>
        <w:ind w:left="705" w:hanging="705"/>
        <w:jc w:val="both"/>
        <w:rPr>
          <w:rFonts w:ascii="Arial" w:eastAsiaTheme="minorHAnsi" w:hAnsi="Arial" w:cstheme="minorBidi"/>
          <w:b w:val="0"/>
          <w:sz w:val="16"/>
          <w:szCs w:val="16"/>
        </w:rPr>
      </w:pPr>
    </w:p>
    <w:p w14:paraId="1C87C0B4" w14:textId="2B6BA39B" w:rsidR="00C0050B" w:rsidRDefault="00C0050B">
      <w:pPr>
        <w:spacing w:after="160" w:line="259" w:lineRule="auto"/>
        <w:rPr>
          <w:rFonts w:ascii="Arial" w:eastAsiaTheme="minorHAnsi" w:hAnsi="Arial" w:cstheme="minorBidi"/>
          <w:b w:val="0"/>
          <w:sz w:val="16"/>
          <w:szCs w:val="16"/>
        </w:rPr>
      </w:pPr>
      <w:r>
        <w:rPr>
          <w:rFonts w:ascii="Arial" w:eastAsiaTheme="minorHAnsi" w:hAnsi="Arial" w:cstheme="minorBidi"/>
          <w:b w:val="0"/>
          <w:sz w:val="16"/>
          <w:szCs w:val="16"/>
        </w:rPr>
        <w:br w:type="page"/>
      </w:r>
    </w:p>
    <w:p w14:paraId="5B702B9A" w14:textId="61CB827C" w:rsidR="005924CD" w:rsidRDefault="009D5C73" w:rsidP="00DD45F5">
      <w:pPr>
        <w:ind w:left="705" w:hanging="705"/>
        <w:jc w:val="both"/>
        <w:rPr>
          <w:rFonts w:ascii="Arial" w:eastAsiaTheme="minorHAnsi" w:hAnsi="Arial" w:cstheme="minorBidi"/>
          <w:b w:val="0"/>
          <w:sz w:val="16"/>
          <w:szCs w:val="16"/>
        </w:rPr>
      </w:pPr>
      <w:r>
        <w:rPr>
          <w:rFonts w:ascii="Arial" w:eastAsiaTheme="minorHAnsi" w:hAnsi="Arial" w:cstheme="minorBidi"/>
          <w:b w:val="0"/>
          <w:noProof/>
          <w:sz w:val="16"/>
          <w:szCs w:val="16"/>
        </w:rPr>
        <w:lastRenderedPageBreak/>
        <w:drawing>
          <wp:anchor distT="0" distB="0" distL="114300" distR="114300" simplePos="0" relativeHeight="251660288" behindDoc="0" locked="0" layoutInCell="1" allowOverlap="1" wp14:anchorId="1C3175D4" wp14:editId="3F77B786">
            <wp:simplePos x="0" y="0"/>
            <wp:positionH relativeFrom="page">
              <wp:align>right</wp:align>
            </wp:positionH>
            <wp:positionV relativeFrom="paragraph">
              <wp:posOffset>-1260489</wp:posOffset>
            </wp:positionV>
            <wp:extent cx="7760000" cy="10042510"/>
            <wp:effectExtent l="0" t="0" r="0" b="0"/>
            <wp:wrapNone/>
            <wp:docPr id="110853879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538797" name="Imagen 110853879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760000" cy="10042510"/>
                    </a:xfrm>
                    <a:prstGeom prst="rect">
                      <a:avLst/>
                    </a:prstGeom>
                  </pic:spPr>
                </pic:pic>
              </a:graphicData>
            </a:graphic>
            <wp14:sizeRelH relativeFrom="margin">
              <wp14:pctWidth>0</wp14:pctWidth>
            </wp14:sizeRelH>
            <wp14:sizeRelV relativeFrom="margin">
              <wp14:pctHeight>0</wp14:pctHeight>
            </wp14:sizeRelV>
          </wp:anchor>
        </w:drawing>
      </w:r>
    </w:p>
    <w:p w14:paraId="3CDCA228" w14:textId="13132DAA" w:rsidR="005924CD" w:rsidRDefault="005924CD" w:rsidP="00DD45F5">
      <w:pPr>
        <w:ind w:left="705" w:hanging="705"/>
        <w:jc w:val="both"/>
        <w:rPr>
          <w:rFonts w:ascii="Arial" w:eastAsiaTheme="minorHAnsi" w:hAnsi="Arial" w:cstheme="minorBidi"/>
          <w:b w:val="0"/>
          <w:sz w:val="16"/>
          <w:szCs w:val="16"/>
        </w:rPr>
      </w:pPr>
    </w:p>
    <w:p w14:paraId="4551F548" w14:textId="77777777" w:rsidR="005924CD" w:rsidRDefault="005924CD" w:rsidP="00DD45F5">
      <w:pPr>
        <w:ind w:left="705" w:hanging="705"/>
        <w:jc w:val="both"/>
        <w:rPr>
          <w:rFonts w:ascii="Arial" w:eastAsiaTheme="minorHAnsi" w:hAnsi="Arial" w:cstheme="minorBidi"/>
          <w:b w:val="0"/>
          <w:sz w:val="16"/>
          <w:szCs w:val="16"/>
        </w:rPr>
      </w:pPr>
    </w:p>
    <w:p w14:paraId="302151B5" w14:textId="77777777" w:rsidR="005924CD" w:rsidRPr="00DD45F5" w:rsidRDefault="005924CD" w:rsidP="00DD45F5">
      <w:pPr>
        <w:ind w:left="705" w:hanging="705"/>
        <w:jc w:val="both"/>
        <w:rPr>
          <w:rFonts w:ascii="Arial" w:eastAsiaTheme="minorHAnsi" w:hAnsi="Arial" w:cstheme="minorBidi"/>
          <w:b w:val="0"/>
          <w:sz w:val="16"/>
          <w:szCs w:val="16"/>
        </w:rPr>
      </w:pPr>
    </w:p>
    <w:sectPr w:rsidR="005924CD" w:rsidRPr="00DD45F5" w:rsidSect="00437403">
      <w:headerReference w:type="default" r:id="rId13"/>
      <w:footerReference w:type="default" r:id="rId14"/>
      <w:pgSz w:w="12240" w:h="15840" w:code="1"/>
      <w:pgMar w:top="1985" w:right="1418" w:bottom="2552" w:left="1418" w:header="142" w:footer="19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8661C5" w14:textId="77777777" w:rsidR="003D52DA" w:rsidRDefault="003D52DA" w:rsidP="0024562B">
      <w:r>
        <w:separator/>
      </w:r>
    </w:p>
  </w:endnote>
  <w:endnote w:type="continuationSeparator" w:id="0">
    <w:p w14:paraId="5D6BF46A" w14:textId="77777777" w:rsidR="003D52DA" w:rsidRDefault="003D52DA" w:rsidP="00245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ucida Calligraphy">
    <w:panose1 w:val="03010101010101010101"/>
    <w:charset w:val="00"/>
    <w:family w:val="script"/>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8B0AB7" w14:textId="480E1810" w:rsidR="00635443" w:rsidRDefault="00635443">
    <w:pPr>
      <w:pStyle w:val="Piedepgina"/>
    </w:pPr>
    <w:r>
      <w:rPr>
        <w:noProof/>
        <w:lang w:eastAsia="es-CO"/>
      </w:rPr>
      <w:drawing>
        <wp:anchor distT="0" distB="0" distL="114300" distR="114300" simplePos="0" relativeHeight="251661312" behindDoc="1" locked="0" layoutInCell="1" allowOverlap="1" wp14:anchorId="5FBDE8D0" wp14:editId="06B5F403">
          <wp:simplePos x="0" y="0"/>
          <wp:positionH relativeFrom="column">
            <wp:posOffset>-922655</wp:posOffset>
          </wp:positionH>
          <wp:positionV relativeFrom="paragraph">
            <wp:posOffset>-1016952</wp:posOffset>
          </wp:positionV>
          <wp:extent cx="7836942" cy="1313747"/>
          <wp:effectExtent l="0" t="0" r="0" b="0"/>
          <wp:wrapNone/>
          <wp:docPr id="6" name="Picture 60469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
                    <a:extLst>
                      <a:ext uri="{28A0092B-C50C-407E-A947-70E740481C1C}">
                        <a14:useLocalDpi xmlns:a14="http://schemas.microsoft.com/office/drawing/2010/main" val="0"/>
                      </a:ext>
                    </a:extLst>
                  </a:blip>
                  <a:stretch>
                    <a:fillRect/>
                  </a:stretch>
                </pic:blipFill>
                <pic:spPr>
                  <a:xfrm>
                    <a:off x="0" y="0"/>
                    <a:ext cx="7836942" cy="1313747"/>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596956" w14:textId="77777777" w:rsidR="003D52DA" w:rsidRDefault="003D52DA" w:rsidP="0024562B">
      <w:r>
        <w:separator/>
      </w:r>
    </w:p>
  </w:footnote>
  <w:footnote w:type="continuationSeparator" w:id="0">
    <w:p w14:paraId="6FA08346" w14:textId="77777777" w:rsidR="003D52DA" w:rsidRDefault="003D52DA" w:rsidP="0024562B">
      <w:r>
        <w:continuationSeparator/>
      </w:r>
    </w:p>
  </w:footnote>
  <w:footnote w:id="1">
    <w:p w14:paraId="384AFE0C" w14:textId="77777777" w:rsidR="00B93705" w:rsidRPr="0092600E" w:rsidRDefault="00B93705" w:rsidP="00B93705">
      <w:pPr>
        <w:pStyle w:val="Textonotapie"/>
        <w:jc w:val="both"/>
        <w:rPr>
          <w:i/>
          <w:iCs/>
          <w:lang w:val="es-MX"/>
        </w:rPr>
      </w:pPr>
      <w:r>
        <w:rPr>
          <w:rStyle w:val="Refdenotaalpie"/>
        </w:rPr>
        <w:footnoteRef/>
      </w:r>
      <w:r>
        <w:t xml:space="preserve"> </w:t>
      </w:r>
      <w:r w:rsidRPr="0092600E">
        <w:rPr>
          <w:rFonts w:cs="Arial"/>
          <w:i/>
          <w:iCs/>
          <w:sz w:val="16"/>
          <w:szCs w:val="16"/>
        </w:rPr>
        <w:t>Resolución CDMB 1294 de 2009; el cual establece en los numerales 7.3 AISLAMIENTOS O ZONAS DE PROTECCION y 7.5 AISLAMIENTOS MINIMOS EN CAUCES, del Capítulo VII REQUISITOS PARA EL MANEJO DE PROYECTOS DE DESARROLLO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744BD" w14:textId="2270C544" w:rsidR="00635443" w:rsidRDefault="00635443">
    <w:pPr>
      <w:pStyle w:val="Encabezado"/>
    </w:pPr>
    <w:r>
      <w:rPr>
        <w:noProof/>
        <w:lang w:eastAsia="es-CO"/>
      </w:rPr>
      <w:drawing>
        <wp:anchor distT="0" distB="0" distL="114300" distR="114300" simplePos="0" relativeHeight="251660288" behindDoc="1" locked="0" layoutInCell="1" allowOverlap="1" wp14:anchorId="5B4C87FC" wp14:editId="0AC1A2E0">
          <wp:simplePos x="0" y="0"/>
          <wp:positionH relativeFrom="column">
            <wp:posOffset>-914400</wp:posOffset>
          </wp:positionH>
          <wp:positionV relativeFrom="paragraph">
            <wp:posOffset>-104140</wp:posOffset>
          </wp:positionV>
          <wp:extent cx="7711392" cy="1116000"/>
          <wp:effectExtent l="0" t="0" r="0" b="1905"/>
          <wp:wrapNone/>
          <wp:docPr id="5" name="Picture 130279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
                    <a:extLst>
                      <a:ext uri="{28A0092B-C50C-407E-A947-70E740481C1C}">
                        <a14:useLocalDpi xmlns:a14="http://schemas.microsoft.com/office/drawing/2010/main" val="0"/>
                      </a:ext>
                    </a:extLst>
                  </a:blip>
                  <a:stretch>
                    <a:fillRect/>
                  </a:stretch>
                </pic:blipFill>
                <pic:spPr>
                  <a:xfrm>
                    <a:off x="0" y="0"/>
                    <a:ext cx="7711392" cy="1116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C30E94"/>
    <w:multiLevelType w:val="hybridMultilevel"/>
    <w:tmpl w:val="65F044A0"/>
    <w:lvl w:ilvl="0" w:tplc="240A0019">
      <w:start w:val="1"/>
      <w:numFmt w:val="lowerLetter"/>
      <w:lvlText w:val="%1."/>
      <w:lvlJc w:val="left"/>
      <w:pPr>
        <w:ind w:left="0" w:hanging="360"/>
      </w:pPr>
      <w:rPr>
        <w:rFonts w:hint="default"/>
      </w:rPr>
    </w:lvl>
    <w:lvl w:ilvl="1" w:tplc="240A0019" w:tentative="1">
      <w:start w:val="1"/>
      <w:numFmt w:val="lowerLetter"/>
      <w:lvlText w:val="%2."/>
      <w:lvlJc w:val="left"/>
      <w:pPr>
        <w:ind w:left="720" w:hanging="360"/>
      </w:pPr>
    </w:lvl>
    <w:lvl w:ilvl="2" w:tplc="240A001B" w:tentative="1">
      <w:start w:val="1"/>
      <w:numFmt w:val="lowerRoman"/>
      <w:lvlText w:val="%3."/>
      <w:lvlJc w:val="right"/>
      <w:pPr>
        <w:ind w:left="1440" w:hanging="180"/>
      </w:pPr>
    </w:lvl>
    <w:lvl w:ilvl="3" w:tplc="240A000F" w:tentative="1">
      <w:start w:val="1"/>
      <w:numFmt w:val="decimal"/>
      <w:lvlText w:val="%4."/>
      <w:lvlJc w:val="left"/>
      <w:pPr>
        <w:ind w:left="2160" w:hanging="360"/>
      </w:pPr>
    </w:lvl>
    <w:lvl w:ilvl="4" w:tplc="240A0019" w:tentative="1">
      <w:start w:val="1"/>
      <w:numFmt w:val="lowerLetter"/>
      <w:lvlText w:val="%5."/>
      <w:lvlJc w:val="left"/>
      <w:pPr>
        <w:ind w:left="2880" w:hanging="360"/>
      </w:pPr>
    </w:lvl>
    <w:lvl w:ilvl="5" w:tplc="240A001B" w:tentative="1">
      <w:start w:val="1"/>
      <w:numFmt w:val="lowerRoman"/>
      <w:lvlText w:val="%6."/>
      <w:lvlJc w:val="right"/>
      <w:pPr>
        <w:ind w:left="3600" w:hanging="180"/>
      </w:pPr>
    </w:lvl>
    <w:lvl w:ilvl="6" w:tplc="240A000F" w:tentative="1">
      <w:start w:val="1"/>
      <w:numFmt w:val="decimal"/>
      <w:lvlText w:val="%7."/>
      <w:lvlJc w:val="left"/>
      <w:pPr>
        <w:ind w:left="4320" w:hanging="360"/>
      </w:pPr>
    </w:lvl>
    <w:lvl w:ilvl="7" w:tplc="240A0019" w:tentative="1">
      <w:start w:val="1"/>
      <w:numFmt w:val="lowerLetter"/>
      <w:lvlText w:val="%8."/>
      <w:lvlJc w:val="left"/>
      <w:pPr>
        <w:ind w:left="5040" w:hanging="360"/>
      </w:pPr>
    </w:lvl>
    <w:lvl w:ilvl="8" w:tplc="240A001B" w:tentative="1">
      <w:start w:val="1"/>
      <w:numFmt w:val="lowerRoman"/>
      <w:lvlText w:val="%9."/>
      <w:lvlJc w:val="right"/>
      <w:pPr>
        <w:ind w:left="5760" w:hanging="180"/>
      </w:pPr>
    </w:lvl>
  </w:abstractNum>
  <w:abstractNum w:abstractNumId="1" w15:restartNumberingAfterBreak="0">
    <w:nsid w:val="18D54CE5"/>
    <w:multiLevelType w:val="hybridMultilevel"/>
    <w:tmpl w:val="2B967662"/>
    <w:lvl w:ilvl="0" w:tplc="E19CA8F0">
      <w:numFmt w:val="bullet"/>
      <w:lvlText w:val="-"/>
      <w:lvlJc w:val="left"/>
      <w:pPr>
        <w:ind w:left="360" w:hanging="360"/>
      </w:pPr>
      <w:rPr>
        <w:rFonts w:ascii="Arial" w:eastAsia="Calibri" w:hAnsi="Arial" w:cs="Aria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0">
    <w:nsid w:val="262D5564"/>
    <w:multiLevelType w:val="hybridMultilevel"/>
    <w:tmpl w:val="51CEC146"/>
    <w:lvl w:ilvl="0" w:tplc="6AC0BE36">
      <w:start w:val="1"/>
      <w:numFmt w:val="upperRoman"/>
      <w:lvlText w:val="%1."/>
      <w:lvlJc w:val="left"/>
      <w:pPr>
        <w:ind w:left="1080" w:hanging="72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3" w15:restartNumberingAfterBreak="0">
    <w:nsid w:val="285F0A9E"/>
    <w:multiLevelType w:val="hybridMultilevel"/>
    <w:tmpl w:val="7884E1EC"/>
    <w:lvl w:ilvl="0" w:tplc="FFFFFFFF">
      <w:start w:val="1"/>
      <w:numFmt w:val="decimal"/>
      <w:lvlText w:val="%1."/>
      <w:lvlJc w:val="left"/>
      <w:pPr>
        <w:ind w:left="720" w:hanging="360"/>
      </w:pPr>
      <w:rPr>
        <w:rFonts w:hint="default"/>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288A74E9"/>
    <w:multiLevelType w:val="hybridMultilevel"/>
    <w:tmpl w:val="C130F244"/>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 w15:restartNumberingAfterBreak="0">
    <w:nsid w:val="42045BA7"/>
    <w:multiLevelType w:val="hybridMultilevel"/>
    <w:tmpl w:val="D688C66C"/>
    <w:lvl w:ilvl="0" w:tplc="941EE258">
      <w:numFmt w:val="decimal"/>
      <w:lvlText w:val="%1."/>
      <w:lvlJc w:val="left"/>
      <w:pPr>
        <w:ind w:left="1065" w:hanging="360"/>
      </w:pPr>
      <w:rPr>
        <w:rFonts w:eastAsiaTheme="minorHAnsi" w:cstheme="minorBidi" w:hint="default"/>
        <w:b/>
        <w:sz w:val="16"/>
      </w:rPr>
    </w:lvl>
    <w:lvl w:ilvl="1" w:tplc="240A0019" w:tentative="1">
      <w:start w:val="1"/>
      <w:numFmt w:val="lowerLetter"/>
      <w:lvlText w:val="%2."/>
      <w:lvlJc w:val="left"/>
      <w:pPr>
        <w:ind w:left="1785" w:hanging="360"/>
      </w:pPr>
    </w:lvl>
    <w:lvl w:ilvl="2" w:tplc="240A001B" w:tentative="1">
      <w:start w:val="1"/>
      <w:numFmt w:val="lowerRoman"/>
      <w:lvlText w:val="%3."/>
      <w:lvlJc w:val="right"/>
      <w:pPr>
        <w:ind w:left="2505" w:hanging="180"/>
      </w:pPr>
    </w:lvl>
    <w:lvl w:ilvl="3" w:tplc="240A000F" w:tentative="1">
      <w:start w:val="1"/>
      <w:numFmt w:val="decimal"/>
      <w:lvlText w:val="%4."/>
      <w:lvlJc w:val="left"/>
      <w:pPr>
        <w:ind w:left="3225" w:hanging="360"/>
      </w:pPr>
    </w:lvl>
    <w:lvl w:ilvl="4" w:tplc="240A0019" w:tentative="1">
      <w:start w:val="1"/>
      <w:numFmt w:val="lowerLetter"/>
      <w:lvlText w:val="%5."/>
      <w:lvlJc w:val="left"/>
      <w:pPr>
        <w:ind w:left="3945" w:hanging="360"/>
      </w:pPr>
    </w:lvl>
    <w:lvl w:ilvl="5" w:tplc="240A001B" w:tentative="1">
      <w:start w:val="1"/>
      <w:numFmt w:val="lowerRoman"/>
      <w:lvlText w:val="%6."/>
      <w:lvlJc w:val="right"/>
      <w:pPr>
        <w:ind w:left="4665" w:hanging="180"/>
      </w:pPr>
    </w:lvl>
    <w:lvl w:ilvl="6" w:tplc="240A000F" w:tentative="1">
      <w:start w:val="1"/>
      <w:numFmt w:val="decimal"/>
      <w:lvlText w:val="%7."/>
      <w:lvlJc w:val="left"/>
      <w:pPr>
        <w:ind w:left="5385" w:hanging="360"/>
      </w:pPr>
    </w:lvl>
    <w:lvl w:ilvl="7" w:tplc="240A0019" w:tentative="1">
      <w:start w:val="1"/>
      <w:numFmt w:val="lowerLetter"/>
      <w:lvlText w:val="%8."/>
      <w:lvlJc w:val="left"/>
      <w:pPr>
        <w:ind w:left="6105" w:hanging="360"/>
      </w:pPr>
    </w:lvl>
    <w:lvl w:ilvl="8" w:tplc="240A001B" w:tentative="1">
      <w:start w:val="1"/>
      <w:numFmt w:val="lowerRoman"/>
      <w:lvlText w:val="%9."/>
      <w:lvlJc w:val="right"/>
      <w:pPr>
        <w:ind w:left="6825" w:hanging="180"/>
      </w:pPr>
    </w:lvl>
  </w:abstractNum>
  <w:abstractNum w:abstractNumId="6" w15:restartNumberingAfterBreak="0">
    <w:nsid w:val="48E947E2"/>
    <w:multiLevelType w:val="multilevel"/>
    <w:tmpl w:val="31B66614"/>
    <w:lvl w:ilvl="0">
      <w:start w:val="1"/>
      <w:numFmt w:val="decimal"/>
      <w:lvlText w:val="%1."/>
      <w:lvlJc w:val="left"/>
      <w:pPr>
        <w:ind w:left="720" w:hanging="360"/>
      </w:pPr>
      <w:rPr>
        <w:rFonts w:hint="default"/>
        <w:i w:val="0"/>
      </w:rPr>
    </w:lvl>
    <w:lvl w:ilvl="1">
      <w:start w:val="1"/>
      <w:numFmt w:val="decimal"/>
      <w:isLgl/>
      <w:lvlText w:val="%1.%2."/>
      <w:lvlJc w:val="left"/>
      <w:pPr>
        <w:ind w:left="1146" w:hanging="72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638" w:hanging="108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2130" w:hanging="144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622" w:hanging="1800"/>
      </w:pPr>
      <w:rPr>
        <w:rFonts w:hint="default"/>
      </w:rPr>
    </w:lvl>
    <w:lvl w:ilvl="8">
      <w:start w:val="1"/>
      <w:numFmt w:val="decimal"/>
      <w:isLgl/>
      <w:lvlText w:val="%1.%2.%3.%4.%5.%6.%7.%8.%9."/>
      <w:lvlJc w:val="left"/>
      <w:pPr>
        <w:ind w:left="2688" w:hanging="1800"/>
      </w:pPr>
      <w:rPr>
        <w:rFonts w:hint="default"/>
      </w:rPr>
    </w:lvl>
  </w:abstractNum>
  <w:abstractNum w:abstractNumId="7" w15:restartNumberingAfterBreak="0">
    <w:nsid w:val="4D993533"/>
    <w:multiLevelType w:val="hybridMultilevel"/>
    <w:tmpl w:val="59600BD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15:restartNumberingAfterBreak="0">
    <w:nsid w:val="500F11A5"/>
    <w:multiLevelType w:val="hybridMultilevel"/>
    <w:tmpl w:val="D3D8A79A"/>
    <w:lvl w:ilvl="0" w:tplc="FFFFFFFF">
      <w:start w:val="1"/>
      <w:numFmt w:val="decimal"/>
      <w:lvlText w:val="%1."/>
      <w:lvlJc w:val="left"/>
      <w:pPr>
        <w:ind w:left="720" w:hanging="360"/>
      </w:pPr>
      <w:rPr>
        <w:rFonts w:hint="default"/>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539E2972"/>
    <w:multiLevelType w:val="hybridMultilevel"/>
    <w:tmpl w:val="686C859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 w15:restartNumberingAfterBreak="0">
    <w:nsid w:val="672E1F6C"/>
    <w:multiLevelType w:val="hybridMultilevel"/>
    <w:tmpl w:val="839EB060"/>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6BC532AF"/>
    <w:multiLevelType w:val="hybridMultilevel"/>
    <w:tmpl w:val="2E1E7EE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788A0D57"/>
    <w:multiLevelType w:val="hybridMultilevel"/>
    <w:tmpl w:val="60B43472"/>
    <w:lvl w:ilvl="0" w:tplc="040A0019">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3" w15:restartNumberingAfterBreak="0">
    <w:nsid w:val="7FD72959"/>
    <w:multiLevelType w:val="hybridMultilevel"/>
    <w:tmpl w:val="7E88AD86"/>
    <w:lvl w:ilvl="0" w:tplc="040A000F">
      <w:start w:val="2"/>
      <w:numFmt w:val="decimal"/>
      <w:lvlText w:val="%1."/>
      <w:lvlJc w:val="left"/>
      <w:pPr>
        <w:ind w:left="360" w:hanging="360"/>
      </w:pPr>
      <w:rPr>
        <w:rFonts w:hint="default"/>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num w:numId="1" w16cid:durableId="1886288731">
    <w:abstractNumId w:val="1"/>
  </w:num>
  <w:num w:numId="2" w16cid:durableId="667099561">
    <w:abstractNumId w:val="2"/>
  </w:num>
  <w:num w:numId="3" w16cid:durableId="1114519961">
    <w:abstractNumId w:val="13"/>
  </w:num>
  <w:num w:numId="4" w16cid:durableId="604077035">
    <w:abstractNumId w:val="12"/>
  </w:num>
  <w:num w:numId="5" w16cid:durableId="482624454">
    <w:abstractNumId w:val="10"/>
  </w:num>
  <w:num w:numId="6" w16cid:durableId="900094515">
    <w:abstractNumId w:val="5"/>
  </w:num>
  <w:num w:numId="7" w16cid:durableId="1546403484">
    <w:abstractNumId w:val="7"/>
  </w:num>
  <w:num w:numId="8" w16cid:durableId="549995281">
    <w:abstractNumId w:val="4"/>
  </w:num>
  <w:num w:numId="9" w16cid:durableId="503785137">
    <w:abstractNumId w:val="0"/>
  </w:num>
  <w:num w:numId="10" w16cid:durableId="1799375975">
    <w:abstractNumId w:val="11"/>
  </w:num>
  <w:num w:numId="11" w16cid:durableId="105584605">
    <w:abstractNumId w:val="6"/>
  </w:num>
  <w:num w:numId="12" w16cid:durableId="365762804">
    <w:abstractNumId w:val="3"/>
  </w:num>
  <w:num w:numId="13" w16cid:durableId="144441382">
    <w:abstractNumId w:val="8"/>
  </w:num>
  <w:num w:numId="14" w16cid:durableId="164596935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562B"/>
    <w:rsid w:val="00002E91"/>
    <w:rsid w:val="00003913"/>
    <w:rsid w:val="0000593E"/>
    <w:rsid w:val="000068CF"/>
    <w:rsid w:val="00010C2C"/>
    <w:rsid w:val="00014882"/>
    <w:rsid w:val="00027560"/>
    <w:rsid w:val="000306E6"/>
    <w:rsid w:val="00037EB8"/>
    <w:rsid w:val="0004072E"/>
    <w:rsid w:val="00043699"/>
    <w:rsid w:val="0005162A"/>
    <w:rsid w:val="00055736"/>
    <w:rsid w:val="00056756"/>
    <w:rsid w:val="0006721A"/>
    <w:rsid w:val="000740DA"/>
    <w:rsid w:val="000758D7"/>
    <w:rsid w:val="0008790A"/>
    <w:rsid w:val="00090FFB"/>
    <w:rsid w:val="00095C62"/>
    <w:rsid w:val="000A599F"/>
    <w:rsid w:val="000A6DF1"/>
    <w:rsid w:val="000B02EC"/>
    <w:rsid w:val="000B0317"/>
    <w:rsid w:val="000C256C"/>
    <w:rsid w:val="000D30A2"/>
    <w:rsid w:val="000D627C"/>
    <w:rsid w:val="000E1610"/>
    <w:rsid w:val="000E3B17"/>
    <w:rsid w:val="000E7189"/>
    <w:rsid w:val="000F33EC"/>
    <w:rsid w:val="000F3CA1"/>
    <w:rsid w:val="0011120B"/>
    <w:rsid w:val="00113B78"/>
    <w:rsid w:val="001242CA"/>
    <w:rsid w:val="001424F2"/>
    <w:rsid w:val="001438C9"/>
    <w:rsid w:val="001543B6"/>
    <w:rsid w:val="001559F6"/>
    <w:rsid w:val="00157E10"/>
    <w:rsid w:val="0016208D"/>
    <w:rsid w:val="00167579"/>
    <w:rsid w:val="001772C6"/>
    <w:rsid w:val="00182236"/>
    <w:rsid w:val="00183F1E"/>
    <w:rsid w:val="001853E4"/>
    <w:rsid w:val="00187F43"/>
    <w:rsid w:val="001955B8"/>
    <w:rsid w:val="0019647F"/>
    <w:rsid w:val="001A0870"/>
    <w:rsid w:val="001A1665"/>
    <w:rsid w:val="001B2C35"/>
    <w:rsid w:val="001D2053"/>
    <w:rsid w:val="001D2D09"/>
    <w:rsid w:val="001F7B43"/>
    <w:rsid w:val="00206467"/>
    <w:rsid w:val="0021507D"/>
    <w:rsid w:val="00223CAB"/>
    <w:rsid w:val="00240F62"/>
    <w:rsid w:val="002435EB"/>
    <w:rsid w:val="0024562B"/>
    <w:rsid w:val="00245E35"/>
    <w:rsid w:val="00260847"/>
    <w:rsid w:val="00281646"/>
    <w:rsid w:val="002832E7"/>
    <w:rsid w:val="00284218"/>
    <w:rsid w:val="00285986"/>
    <w:rsid w:val="00285CEB"/>
    <w:rsid w:val="00290C14"/>
    <w:rsid w:val="002962DC"/>
    <w:rsid w:val="002A003F"/>
    <w:rsid w:val="002A005D"/>
    <w:rsid w:val="002A566E"/>
    <w:rsid w:val="002A5B37"/>
    <w:rsid w:val="002B2E6E"/>
    <w:rsid w:val="002C4390"/>
    <w:rsid w:val="002C4876"/>
    <w:rsid w:val="002C6E32"/>
    <w:rsid w:val="002D171C"/>
    <w:rsid w:val="002D6CA3"/>
    <w:rsid w:val="002E316A"/>
    <w:rsid w:val="002E36BD"/>
    <w:rsid w:val="002E5321"/>
    <w:rsid w:val="002E59E4"/>
    <w:rsid w:val="002E636A"/>
    <w:rsid w:val="002F2B91"/>
    <w:rsid w:val="002F32DA"/>
    <w:rsid w:val="002F3417"/>
    <w:rsid w:val="002F4B1E"/>
    <w:rsid w:val="00305F4D"/>
    <w:rsid w:val="00321042"/>
    <w:rsid w:val="00332CE9"/>
    <w:rsid w:val="00333003"/>
    <w:rsid w:val="00340ABC"/>
    <w:rsid w:val="00375C29"/>
    <w:rsid w:val="00384067"/>
    <w:rsid w:val="00387B74"/>
    <w:rsid w:val="003926A6"/>
    <w:rsid w:val="00393B03"/>
    <w:rsid w:val="0039476D"/>
    <w:rsid w:val="00395DD8"/>
    <w:rsid w:val="00397B86"/>
    <w:rsid w:val="003A4772"/>
    <w:rsid w:val="003A657A"/>
    <w:rsid w:val="003B6A4E"/>
    <w:rsid w:val="003B70C3"/>
    <w:rsid w:val="003C23FF"/>
    <w:rsid w:val="003C2850"/>
    <w:rsid w:val="003C50ED"/>
    <w:rsid w:val="003D377E"/>
    <w:rsid w:val="003D4060"/>
    <w:rsid w:val="003D52DA"/>
    <w:rsid w:val="003E645F"/>
    <w:rsid w:val="003F5244"/>
    <w:rsid w:val="003F7C40"/>
    <w:rsid w:val="00403A4D"/>
    <w:rsid w:val="00411223"/>
    <w:rsid w:val="004151A9"/>
    <w:rsid w:val="00421B14"/>
    <w:rsid w:val="00427A95"/>
    <w:rsid w:val="004335CA"/>
    <w:rsid w:val="004337CD"/>
    <w:rsid w:val="004373AB"/>
    <w:rsid w:val="00437403"/>
    <w:rsid w:val="004404E4"/>
    <w:rsid w:val="0044139C"/>
    <w:rsid w:val="004452CD"/>
    <w:rsid w:val="00447FD5"/>
    <w:rsid w:val="00451AF4"/>
    <w:rsid w:val="00452729"/>
    <w:rsid w:val="0046016B"/>
    <w:rsid w:val="00463902"/>
    <w:rsid w:val="00473664"/>
    <w:rsid w:val="00482503"/>
    <w:rsid w:val="004828E0"/>
    <w:rsid w:val="00484789"/>
    <w:rsid w:val="00497459"/>
    <w:rsid w:val="004A4754"/>
    <w:rsid w:val="004A4E2D"/>
    <w:rsid w:val="004A74D3"/>
    <w:rsid w:val="004B29B9"/>
    <w:rsid w:val="004B3804"/>
    <w:rsid w:val="004B3DA7"/>
    <w:rsid w:val="004C0D1A"/>
    <w:rsid w:val="004D2F4A"/>
    <w:rsid w:val="004E13D0"/>
    <w:rsid w:val="004E5253"/>
    <w:rsid w:val="004F20FB"/>
    <w:rsid w:val="004F3B17"/>
    <w:rsid w:val="00503381"/>
    <w:rsid w:val="00503425"/>
    <w:rsid w:val="00522A44"/>
    <w:rsid w:val="00525C33"/>
    <w:rsid w:val="00535B9C"/>
    <w:rsid w:val="00547582"/>
    <w:rsid w:val="00551E4F"/>
    <w:rsid w:val="0055209B"/>
    <w:rsid w:val="00570198"/>
    <w:rsid w:val="005709E2"/>
    <w:rsid w:val="00570F5D"/>
    <w:rsid w:val="005779C5"/>
    <w:rsid w:val="005835F8"/>
    <w:rsid w:val="005868D1"/>
    <w:rsid w:val="0058769B"/>
    <w:rsid w:val="005900D9"/>
    <w:rsid w:val="005924CD"/>
    <w:rsid w:val="005A07EA"/>
    <w:rsid w:val="005A2395"/>
    <w:rsid w:val="005A3C07"/>
    <w:rsid w:val="005B0390"/>
    <w:rsid w:val="005C204E"/>
    <w:rsid w:val="005C51DE"/>
    <w:rsid w:val="005D0973"/>
    <w:rsid w:val="005D6994"/>
    <w:rsid w:val="005F186C"/>
    <w:rsid w:val="005F19C0"/>
    <w:rsid w:val="00601FA8"/>
    <w:rsid w:val="006079C7"/>
    <w:rsid w:val="0061493E"/>
    <w:rsid w:val="00615C75"/>
    <w:rsid w:val="00615E01"/>
    <w:rsid w:val="006166D9"/>
    <w:rsid w:val="00625C17"/>
    <w:rsid w:val="0062635B"/>
    <w:rsid w:val="00626AD4"/>
    <w:rsid w:val="00630083"/>
    <w:rsid w:val="00635048"/>
    <w:rsid w:val="00635443"/>
    <w:rsid w:val="00640B6E"/>
    <w:rsid w:val="00643539"/>
    <w:rsid w:val="006444AB"/>
    <w:rsid w:val="00650840"/>
    <w:rsid w:val="00654C50"/>
    <w:rsid w:val="00664A61"/>
    <w:rsid w:val="00671183"/>
    <w:rsid w:val="00675FC7"/>
    <w:rsid w:val="0069283C"/>
    <w:rsid w:val="006928A3"/>
    <w:rsid w:val="006A1C61"/>
    <w:rsid w:val="006A2FD3"/>
    <w:rsid w:val="006A6CB9"/>
    <w:rsid w:val="006B1713"/>
    <w:rsid w:val="006B7723"/>
    <w:rsid w:val="006C0FEA"/>
    <w:rsid w:val="006C27B7"/>
    <w:rsid w:val="006C541F"/>
    <w:rsid w:val="006D7237"/>
    <w:rsid w:val="006E14C6"/>
    <w:rsid w:val="006E3F5E"/>
    <w:rsid w:val="006E502F"/>
    <w:rsid w:val="006F2413"/>
    <w:rsid w:val="006F7E56"/>
    <w:rsid w:val="00701753"/>
    <w:rsid w:val="00702BA9"/>
    <w:rsid w:val="007048A7"/>
    <w:rsid w:val="007153A2"/>
    <w:rsid w:val="00721831"/>
    <w:rsid w:val="00723108"/>
    <w:rsid w:val="00725204"/>
    <w:rsid w:val="0072641B"/>
    <w:rsid w:val="007337BD"/>
    <w:rsid w:val="00746BE9"/>
    <w:rsid w:val="00747523"/>
    <w:rsid w:val="007479CF"/>
    <w:rsid w:val="007503F4"/>
    <w:rsid w:val="007526B1"/>
    <w:rsid w:val="00753236"/>
    <w:rsid w:val="0075657D"/>
    <w:rsid w:val="00756CE6"/>
    <w:rsid w:val="007654AD"/>
    <w:rsid w:val="00772EA2"/>
    <w:rsid w:val="00777AD2"/>
    <w:rsid w:val="0078332E"/>
    <w:rsid w:val="00783645"/>
    <w:rsid w:val="00795261"/>
    <w:rsid w:val="0079708B"/>
    <w:rsid w:val="007A164F"/>
    <w:rsid w:val="007A3FDC"/>
    <w:rsid w:val="007A78FB"/>
    <w:rsid w:val="007B117F"/>
    <w:rsid w:val="007B173D"/>
    <w:rsid w:val="007B213F"/>
    <w:rsid w:val="007B2296"/>
    <w:rsid w:val="007B514C"/>
    <w:rsid w:val="007B73B5"/>
    <w:rsid w:val="007C508E"/>
    <w:rsid w:val="007D2669"/>
    <w:rsid w:val="007D4C52"/>
    <w:rsid w:val="007D527E"/>
    <w:rsid w:val="007D65F2"/>
    <w:rsid w:val="007D6875"/>
    <w:rsid w:val="007E21D5"/>
    <w:rsid w:val="007E5716"/>
    <w:rsid w:val="007E6FC7"/>
    <w:rsid w:val="007E7427"/>
    <w:rsid w:val="007E7CE1"/>
    <w:rsid w:val="007F2AA2"/>
    <w:rsid w:val="007F3BA7"/>
    <w:rsid w:val="007F7B82"/>
    <w:rsid w:val="00800BF2"/>
    <w:rsid w:val="0080296D"/>
    <w:rsid w:val="00807535"/>
    <w:rsid w:val="00807DE8"/>
    <w:rsid w:val="00813369"/>
    <w:rsid w:val="00830547"/>
    <w:rsid w:val="008319E4"/>
    <w:rsid w:val="008335E3"/>
    <w:rsid w:val="00836A37"/>
    <w:rsid w:val="008445C4"/>
    <w:rsid w:val="00855393"/>
    <w:rsid w:val="00857C65"/>
    <w:rsid w:val="008651B7"/>
    <w:rsid w:val="00877F2F"/>
    <w:rsid w:val="00887DCC"/>
    <w:rsid w:val="00896A42"/>
    <w:rsid w:val="0089772D"/>
    <w:rsid w:val="008A3B4C"/>
    <w:rsid w:val="008B4DBB"/>
    <w:rsid w:val="008C425B"/>
    <w:rsid w:val="008C5C8B"/>
    <w:rsid w:val="008D62ED"/>
    <w:rsid w:val="008E179F"/>
    <w:rsid w:val="008F619F"/>
    <w:rsid w:val="008F6F0B"/>
    <w:rsid w:val="00903BDB"/>
    <w:rsid w:val="00906827"/>
    <w:rsid w:val="00906E0B"/>
    <w:rsid w:val="009206CF"/>
    <w:rsid w:val="00924062"/>
    <w:rsid w:val="00931E7C"/>
    <w:rsid w:val="009353BE"/>
    <w:rsid w:val="00944988"/>
    <w:rsid w:val="0094749E"/>
    <w:rsid w:val="00951019"/>
    <w:rsid w:val="00956AE8"/>
    <w:rsid w:val="00970793"/>
    <w:rsid w:val="00975F27"/>
    <w:rsid w:val="00980BF6"/>
    <w:rsid w:val="00982266"/>
    <w:rsid w:val="00994481"/>
    <w:rsid w:val="009966CE"/>
    <w:rsid w:val="009B43AC"/>
    <w:rsid w:val="009D5C73"/>
    <w:rsid w:val="009D6740"/>
    <w:rsid w:val="009E17FA"/>
    <w:rsid w:val="009E50B7"/>
    <w:rsid w:val="009E5C0A"/>
    <w:rsid w:val="009E5DEB"/>
    <w:rsid w:val="009E66E3"/>
    <w:rsid w:val="009E7D72"/>
    <w:rsid w:val="009E7E76"/>
    <w:rsid w:val="009F1DFB"/>
    <w:rsid w:val="009F2743"/>
    <w:rsid w:val="00A00A4E"/>
    <w:rsid w:val="00A03B40"/>
    <w:rsid w:val="00A03C75"/>
    <w:rsid w:val="00A17EE5"/>
    <w:rsid w:val="00A2118D"/>
    <w:rsid w:val="00A26386"/>
    <w:rsid w:val="00A26C93"/>
    <w:rsid w:val="00A33427"/>
    <w:rsid w:val="00A41758"/>
    <w:rsid w:val="00A41F66"/>
    <w:rsid w:val="00A4332B"/>
    <w:rsid w:val="00A43367"/>
    <w:rsid w:val="00A54D85"/>
    <w:rsid w:val="00A54E1A"/>
    <w:rsid w:val="00A55C92"/>
    <w:rsid w:val="00A62E42"/>
    <w:rsid w:val="00A7076C"/>
    <w:rsid w:val="00A72E88"/>
    <w:rsid w:val="00A87CE7"/>
    <w:rsid w:val="00A90C8A"/>
    <w:rsid w:val="00A9101C"/>
    <w:rsid w:val="00A94310"/>
    <w:rsid w:val="00A94547"/>
    <w:rsid w:val="00A95B85"/>
    <w:rsid w:val="00AA3461"/>
    <w:rsid w:val="00AB3FC3"/>
    <w:rsid w:val="00AB5490"/>
    <w:rsid w:val="00AB7431"/>
    <w:rsid w:val="00AB74FC"/>
    <w:rsid w:val="00AC3974"/>
    <w:rsid w:val="00AC3C8C"/>
    <w:rsid w:val="00AC4EB2"/>
    <w:rsid w:val="00AC5052"/>
    <w:rsid w:val="00AC6186"/>
    <w:rsid w:val="00AD0A00"/>
    <w:rsid w:val="00AE0158"/>
    <w:rsid w:val="00AE11BC"/>
    <w:rsid w:val="00AE13DA"/>
    <w:rsid w:val="00AE253B"/>
    <w:rsid w:val="00AE5727"/>
    <w:rsid w:val="00AE6D1A"/>
    <w:rsid w:val="00AF0F9F"/>
    <w:rsid w:val="00AF2705"/>
    <w:rsid w:val="00AF48E1"/>
    <w:rsid w:val="00B127A4"/>
    <w:rsid w:val="00B22688"/>
    <w:rsid w:val="00B22BE7"/>
    <w:rsid w:val="00B30955"/>
    <w:rsid w:val="00B33BE5"/>
    <w:rsid w:val="00B3490D"/>
    <w:rsid w:val="00B46188"/>
    <w:rsid w:val="00B56C13"/>
    <w:rsid w:val="00B671DB"/>
    <w:rsid w:val="00B6780B"/>
    <w:rsid w:val="00B67EF0"/>
    <w:rsid w:val="00B71113"/>
    <w:rsid w:val="00B72BB5"/>
    <w:rsid w:val="00B8159C"/>
    <w:rsid w:val="00B84850"/>
    <w:rsid w:val="00B93705"/>
    <w:rsid w:val="00B95758"/>
    <w:rsid w:val="00BA172B"/>
    <w:rsid w:val="00BA4CAE"/>
    <w:rsid w:val="00BA60DD"/>
    <w:rsid w:val="00BA6156"/>
    <w:rsid w:val="00BB15E4"/>
    <w:rsid w:val="00BD532E"/>
    <w:rsid w:val="00BE2CE1"/>
    <w:rsid w:val="00BF15E5"/>
    <w:rsid w:val="00BF1900"/>
    <w:rsid w:val="00BF46B8"/>
    <w:rsid w:val="00C0050B"/>
    <w:rsid w:val="00C01042"/>
    <w:rsid w:val="00C04653"/>
    <w:rsid w:val="00C139C2"/>
    <w:rsid w:val="00C260F2"/>
    <w:rsid w:val="00C3391B"/>
    <w:rsid w:val="00C34120"/>
    <w:rsid w:val="00C3427B"/>
    <w:rsid w:val="00C41BD2"/>
    <w:rsid w:val="00C5003B"/>
    <w:rsid w:val="00C52DE4"/>
    <w:rsid w:val="00C541ED"/>
    <w:rsid w:val="00C54D2D"/>
    <w:rsid w:val="00C60404"/>
    <w:rsid w:val="00C65DEF"/>
    <w:rsid w:val="00C66ABA"/>
    <w:rsid w:val="00C7167F"/>
    <w:rsid w:val="00C73F24"/>
    <w:rsid w:val="00C7458C"/>
    <w:rsid w:val="00C75CCF"/>
    <w:rsid w:val="00C8034E"/>
    <w:rsid w:val="00C82A47"/>
    <w:rsid w:val="00C852DA"/>
    <w:rsid w:val="00C868C3"/>
    <w:rsid w:val="00C86D3B"/>
    <w:rsid w:val="00C9017B"/>
    <w:rsid w:val="00C91D70"/>
    <w:rsid w:val="00C97E3C"/>
    <w:rsid w:val="00CA143F"/>
    <w:rsid w:val="00CB0DF4"/>
    <w:rsid w:val="00CC2C47"/>
    <w:rsid w:val="00CC72CB"/>
    <w:rsid w:val="00CC7800"/>
    <w:rsid w:val="00CD6290"/>
    <w:rsid w:val="00CE0023"/>
    <w:rsid w:val="00CE5273"/>
    <w:rsid w:val="00CE52AB"/>
    <w:rsid w:val="00CF10CE"/>
    <w:rsid w:val="00CF18C1"/>
    <w:rsid w:val="00D018ED"/>
    <w:rsid w:val="00D01D87"/>
    <w:rsid w:val="00D124A1"/>
    <w:rsid w:val="00D13A6C"/>
    <w:rsid w:val="00D1454B"/>
    <w:rsid w:val="00D15E0D"/>
    <w:rsid w:val="00D17E7E"/>
    <w:rsid w:val="00D21B75"/>
    <w:rsid w:val="00D30043"/>
    <w:rsid w:val="00D30BF8"/>
    <w:rsid w:val="00D324F0"/>
    <w:rsid w:val="00D35DCC"/>
    <w:rsid w:val="00D40CD4"/>
    <w:rsid w:val="00D42A1E"/>
    <w:rsid w:val="00D43D43"/>
    <w:rsid w:val="00D44BC2"/>
    <w:rsid w:val="00D50C90"/>
    <w:rsid w:val="00D55B81"/>
    <w:rsid w:val="00D62A4C"/>
    <w:rsid w:val="00D6302F"/>
    <w:rsid w:val="00D7469E"/>
    <w:rsid w:val="00D7526B"/>
    <w:rsid w:val="00D752B6"/>
    <w:rsid w:val="00D77568"/>
    <w:rsid w:val="00D83D9D"/>
    <w:rsid w:val="00D85705"/>
    <w:rsid w:val="00D87B89"/>
    <w:rsid w:val="00D90EB1"/>
    <w:rsid w:val="00DA3F61"/>
    <w:rsid w:val="00DA4AB9"/>
    <w:rsid w:val="00DB5A86"/>
    <w:rsid w:val="00DC0B6F"/>
    <w:rsid w:val="00DC107B"/>
    <w:rsid w:val="00DC309A"/>
    <w:rsid w:val="00DC78C3"/>
    <w:rsid w:val="00DD45F5"/>
    <w:rsid w:val="00DD78D0"/>
    <w:rsid w:val="00DF3BDD"/>
    <w:rsid w:val="00E033B4"/>
    <w:rsid w:val="00E22E8E"/>
    <w:rsid w:val="00E257B5"/>
    <w:rsid w:val="00E30CB2"/>
    <w:rsid w:val="00E30F85"/>
    <w:rsid w:val="00E36D94"/>
    <w:rsid w:val="00E477F5"/>
    <w:rsid w:val="00E56759"/>
    <w:rsid w:val="00E615F7"/>
    <w:rsid w:val="00E70E46"/>
    <w:rsid w:val="00E7163E"/>
    <w:rsid w:val="00E91C90"/>
    <w:rsid w:val="00E93B82"/>
    <w:rsid w:val="00E96C8C"/>
    <w:rsid w:val="00EA6A91"/>
    <w:rsid w:val="00EB0B77"/>
    <w:rsid w:val="00EB73DC"/>
    <w:rsid w:val="00EE14EE"/>
    <w:rsid w:val="00EF499B"/>
    <w:rsid w:val="00EF5E10"/>
    <w:rsid w:val="00EF6802"/>
    <w:rsid w:val="00F1104C"/>
    <w:rsid w:val="00F11D3C"/>
    <w:rsid w:val="00F14EF9"/>
    <w:rsid w:val="00F30510"/>
    <w:rsid w:val="00F30821"/>
    <w:rsid w:val="00F3792D"/>
    <w:rsid w:val="00F438AF"/>
    <w:rsid w:val="00F523BC"/>
    <w:rsid w:val="00F659C5"/>
    <w:rsid w:val="00F75DF7"/>
    <w:rsid w:val="00F77134"/>
    <w:rsid w:val="00F77C88"/>
    <w:rsid w:val="00F81022"/>
    <w:rsid w:val="00F84716"/>
    <w:rsid w:val="00F85652"/>
    <w:rsid w:val="00F91027"/>
    <w:rsid w:val="00F91F95"/>
    <w:rsid w:val="00F94D25"/>
    <w:rsid w:val="00FA02CD"/>
    <w:rsid w:val="00FA442F"/>
    <w:rsid w:val="00FB1262"/>
    <w:rsid w:val="00FB4D0D"/>
    <w:rsid w:val="00FC01A4"/>
    <w:rsid w:val="00FC2D5C"/>
    <w:rsid w:val="00FC6042"/>
    <w:rsid w:val="00FD65E0"/>
    <w:rsid w:val="00FE0344"/>
    <w:rsid w:val="00FE3A45"/>
    <w:rsid w:val="00FE439A"/>
    <w:rsid w:val="00FE4511"/>
    <w:rsid w:val="00FF25F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29462B"/>
  <w15:chartTrackingRefBased/>
  <w15:docId w15:val="{F1A08A6B-4065-47CA-94CE-F2E192D7BD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4C50"/>
    <w:pPr>
      <w:spacing w:after="0" w:line="240" w:lineRule="auto"/>
    </w:pPr>
    <w:rPr>
      <w:rFonts w:ascii="Lucida Calligraphy" w:eastAsia="Calibri" w:hAnsi="Lucida Calligraphy" w:cs="Times New Roman"/>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24562B"/>
    <w:pPr>
      <w:tabs>
        <w:tab w:val="center" w:pos="4419"/>
        <w:tab w:val="right" w:pos="8838"/>
      </w:tabs>
    </w:pPr>
  </w:style>
  <w:style w:type="character" w:customStyle="1" w:styleId="EncabezadoCar">
    <w:name w:val="Encabezado Car"/>
    <w:basedOn w:val="Fuentedeprrafopredeter"/>
    <w:link w:val="Encabezado"/>
    <w:uiPriority w:val="99"/>
    <w:rsid w:val="0024562B"/>
  </w:style>
  <w:style w:type="paragraph" w:styleId="Piedepgina">
    <w:name w:val="footer"/>
    <w:basedOn w:val="Normal"/>
    <w:link w:val="PiedepginaCar"/>
    <w:uiPriority w:val="99"/>
    <w:unhideWhenUsed/>
    <w:rsid w:val="0024562B"/>
    <w:pPr>
      <w:tabs>
        <w:tab w:val="center" w:pos="4419"/>
        <w:tab w:val="right" w:pos="8838"/>
      </w:tabs>
    </w:pPr>
  </w:style>
  <w:style w:type="character" w:customStyle="1" w:styleId="PiedepginaCar">
    <w:name w:val="Pie de página Car"/>
    <w:basedOn w:val="Fuentedeprrafopredeter"/>
    <w:link w:val="Piedepgina"/>
    <w:uiPriority w:val="99"/>
    <w:rsid w:val="0024562B"/>
  </w:style>
  <w:style w:type="character" w:styleId="Fuerte">
    <w:name w:val="Strong"/>
    <w:basedOn w:val="Fuentedeprrafopredeter"/>
    <w:uiPriority w:val="22"/>
    <w:qFormat/>
    <w:rsid w:val="00FA02CD"/>
    <w:rPr>
      <w:b/>
      <w:bCs/>
    </w:rPr>
  </w:style>
  <w:style w:type="table" w:styleId="Tablaconcuadrcula">
    <w:name w:val="Table Grid"/>
    <w:basedOn w:val="Tablanormal"/>
    <w:uiPriority w:val="39"/>
    <w:rsid w:val="00FA02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FA02CD"/>
    <w:rPr>
      <w:color w:val="0563C1" w:themeColor="hyperlink"/>
      <w:u w:val="single"/>
    </w:rPr>
  </w:style>
  <w:style w:type="paragraph" w:styleId="Prrafodelista">
    <w:name w:val="List Paragraph"/>
    <w:aliases w:val="Bolita,Guión,Viñeta 2,Párrafo de lista3,BOLA,Párrafo de lista21,Titulo 8,Párrafo de lista2,Correción viñeta del guión,BOLADEF,HOJA,Párrafo de lista31,Párrafo de lista5,Colorful List - Accent 11,Colorful List Accent 1,Bola"/>
    <w:basedOn w:val="Normal"/>
    <w:link w:val="PrrafodelistaCar"/>
    <w:uiPriority w:val="34"/>
    <w:qFormat/>
    <w:rsid w:val="004A74D3"/>
    <w:pPr>
      <w:ind w:left="720"/>
      <w:contextualSpacing/>
    </w:pPr>
  </w:style>
  <w:style w:type="table" w:customStyle="1" w:styleId="TableGrid">
    <w:name w:val="TableGrid"/>
    <w:rsid w:val="004A74D3"/>
    <w:pPr>
      <w:spacing w:after="0" w:line="240" w:lineRule="auto"/>
    </w:pPr>
    <w:rPr>
      <w:rFonts w:eastAsiaTheme="minorEastAsia"/>
      <w:lang w:val="en-US"/>
    </w:rPr>
    <w:tblPr>
      <w:tblCellMar>
        <w:top w:w="0" w:type="dxa"/>
        <w:left w:w="0" w:type="dxa"/>
        <w:bottom w:w="0" w:type="dxa"/>
        <w:right w:w="0" w:type="dxa"/>
      </w:tblCellMar>
    </w:tblPr>
  </w:style>
  <w:style w:type="character" w:customStyle="1" w:styleId="PrrafodelistaCar">
    <w:name w:val="Párrafo de lista Car"/>
    <w:aliases w:val="Bolita Car,Guión Car,Viñeta 2 Car,Párrafo de lista3 Car,BOLA Car,Párrafo de lista21 Car,Titulo 8 Car,Párrafo de lista2 Car,Correción viñeta del guión Car,BOLADEF Car,HOJA Car,Párrafo de lista31 Car,Párrafo de lista5 Car,Bola Car"/>
    <w:link w:val="Prrafodelista"/>
    <w:uiPriority w:val="34"/>
    <w:qFormat/>
    <w:rsid w:val="00340ABC"/>
    <w:rPr>
      <w:rFonts w:ascii="Lucida Calligraphy" w:eastAsia="Calibri" w:hAnsi="Lucida Calligraphy" w:cs="Times New Roman"/>
      <w:b/>
    </w:rPr>
  </w:style>
  <w:style w:type="character" w:customStyle="1" w:styleId="UnresolvedMention1">
    <w:name w:val="Unresolved Mention1"/>
    <w:basedOn w:val="Fuentedeprrafopredeter"/>
    <w:uiPriority w:val="99"/>
    <w:semiHidden/>
    <w:unhideWhenUsed/>
    <w:rsid w:val="00D17E7E"/>
    <w:rPr>
      <w:color w:val="605E5C"/>
      <w:shd w:val="clear" w:color="auto" w:fill="E1DFDD"/>
    </w:rPr>
  </w:style>
  <w:style w:type="character" w:styleId="Mencinsinresolver">
    <w:name w:val="Unresolved Mention"/>
    <w:basedOn w:val="Fuentedeprrafopredeter"/>
    <w:uiPriority w:val="99"/>
    <w:semiHidden/>
    <w:unhideWhenUsed/>
    <w:rsid w:val="004828E0"/>
    <w:rPr>
      <w:color w:val="605E5C"/>
      <w:shd w:val="clear" w:color="auto" w:fill="E1DFDD"/>
    </w:rPr>
  </w:style>
  <w:style w:type="table" w:customStyle="1" w:styleId="Tablaconcuadrcula1">
    <w:name w:val="Tabla con cuadrícula1"/>
    <w:basedOn w:val="Tablanormal"/>
    <w:next w:val="Tablaconcuadrcula"/>
    <w:uiPriority w:val="59"/>
    <w:rsid w:val="00F77C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975F27"/>
    <w:rPr>
      <w:rFonts w:asciiTheme="minorHAnsi" w:eastAsiaTheme="minorHAnsi" w:hAnsiTheme="minorHAnsi" w:cstheme="minorBidi"/>
      <w:b w:val="0"/>
      <w:sz w:val="20"/>
      <w:szCs w:val="20"/>
    </w:rPr>
  </w:style>
  <w:style w:type="character" w:customStyle="1" w:styleId="TextonotapieCar">
    <w:name w:val="Texto nota pie Car"/>
    <w:basedOn w:val="Fuentedeprrafopredeter"/>
    <w:link w:val="Textonotapie"/>
    <w:uiPriority w:val="99"/>
    <w:semiHidden/>
    <w:rsid w:val="00975F27"/>
    <w:rPr>
      <w:sz w:val="20"/>
      <w:szCs w:val="20"/>
    </w:rPr>
  </w:style>
  <w:style w:type="character" w:styleId="Refdenotaalpie">
    <w:name w:val="footnote reference"/>
    <w:basedOn w:val="Fuentedeprrafopredeter"/>
    <w:uiPriority w:val="99"/>
    <w:semiHidden/>
    <w:unhideWhenUsed/>
    <w:rsid w:val="00975F27"/>
    <w:rPr>
      <w:vertAlign w:val="superscript"/>
    </w:rPr>
  </w:style>
  <w:style w:type="paragraph" w:styleId="Sinespaciado">
    <w:name w:val="No Spacing"/>
    <w:uiPriority w:val="1"/>
    <w:qFormat/>
    <w:rsid w:val="00A2118D"/>
    <w:pPr>
      <w:spacing w:after="0" w:line="240" w:lineRule="auto"/>
    </w:pPr>
    <w:rPr>
      <w:rFonts w:ascii="Lucida Calligraphy" w:eastAsia="Calibri" w:hAnsi="Lucida Calligraphy" w:cs="Times New Roman"/>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690014">
      <w:bodyDiv w:val="1"/>
      <w:marLeft w:val="0"/>
      <w:marRight w:val="0"/>
      <w:marTop w:val="0"/>
      <w:marBottom w:val="0"/>
      <w:divBdr>
        <w:top w:val="none" w:sz="0" w:space="0" w:color="auto"/>
        <w:left w:val="none" w:sz="0" w:space="0" w:color="auto"/>
        <w:bottom w:val="none" w:sz="0" w:space="0" w:color="auto"/>
        <w:right w:val="none" w:sz="0" w:space="0" w:color="auto"/>
      </w:divBdr>
    </w:div>
    <w:div w:id="406266884">
      <w:bodyDiv w:val="1"/>
      <w:marLeft w:val="0"/>
      <w:marRight w:val="0"/>
      <w:marTop w:val="0"/>
      <w:marBottom w:val="0"/>
      <w:divBdr>
        <w:top w:val="none" w:sz="0" w:space="0" w:color="auto"/>
        <w:left w:val="none" w:sz="0" w:space="0" w:color="auto"/>
        <w:bottom w:val="none" w:sz="0" w:space="0" w:color="auto"/>
        <w:right w:val="none" w:sz="0" w:space="0" w:color="auto"/>
      </w:divBdr>
    </w:div>
    <w:div w:id="968514232">
      <w:bodyDiv w:val="1"/>
      <w:marLeft w:val="0"/>
      <w:marRight w:val="0"/>
      <w:marTop w:val="0"/>
      <w:marBottom w:val="0"/>
      <w:divBdr>
        <w:top w:val="none" w:sz="0" w:space="0" w:color="auto"/>
        <w:left w:val="none" w:sz="0" w:space="0" w:color="auto"/>
        <w:bottom w:val="none" w:sz="0" w:space="0" w:color="auto"/>
        <w:right w:val="none" w:sz="0" w:space="0" w:color="auto"/>
      </w:divBdr>
    </w:div>
    <w:div w:id="1379158345">
      <w:bodyDiv w:val="1"/>
      <w:marLeft w:val="0"/>
      <w:marRight w:val="0"/>
      <w:marTop w:val="0"/>
      <w:marBottom w:val="0"/>
      <w:divBdr>
        <w:top w:val="none" w:sz="0" w:space="0" w:color="auto"/>
        <w:left w:val="none" w:sz="0" w:space="0" w:color="auto"/>
        <w:bottom w:val="none" w:sz="0" w:space="0" w:color="auto"/>
        <w:right w:val="none" w:sz="0" w:space="0" w:color="auto"/>
      </w:divBdr>
    </w:div>
    <w:div w:id="1388259084">
      <w:bodyDiv w:val="1"/>
      <w:marLeft w:val="0"/>
      <w:marRight w:val="0"/>
      <w:marTop w:val="0"/>
      <w:marBottom w:val="0"/>
      <w:divBdr>
        <w:top w:val="none" w:sz="0" w:space="0" w:color="auto"/>
        <w:left w:val="none" w:sz="0" w:space="0" w:color="auto"/>
        <w:bottom w:val="none" w:sz="0" w:space="0" w:color="auto"/>
        <w:right w:val="none" w:sz="0" w:space="0" w:color="auto"/>
      </w:divBdr>
    </w:div>
    <w:div w:id="1486438657">
      <w:bodyDiv w:val="1"/>
      <w:marLeft w:val="0"/>
      <w:marRight w:val="0"/>
      <w:marTop w:val="0"/>
      <w:marBottom w:val="0"/>
      <w:divBdr>
        <w:top w:val="none" w:sz="0" w:space="0" w:color="auto"/>
        <w:left w:val="none" w:sz="0" w:space="0" w:color="auto"/>
        <w:bottom w:val="none" w:sz="0" w:space="0" w:color="auto"/>
        <w:right w:val="none" w:sz="0" w:space="0" w:color="auto"/>
      </w:divBdr>
    </w:div>
    <w:div w:id="1713964272">
      <w:bodyDiv w:val="1"/>
      <w:marLeft w:val="0"/>
      <w:marRight w:val="0"/>
      <w:marTop w:val="0"/>
      <w:marBottom w:val="0"/>
      <w:divBdr>
        <w:top w:val="none" w:sz="0" w:space="0" w:color="auto"/>
        <w:left w:val="none" w:sz="0" w:space="0" w:color="auto"/>
        <w:bottom w:val="none" w:sz="0" w:space="0" w:color="auto"/>
        <w:right w:val="none" w:sz="0" w:space="0" w:color="auto"/>
      </w:divBdr>
    </w:div>
    <w:div w:id="1907061317">
      <w:bodyDiv w:val="1"/>
      <w:marLeft w:val="0"/>
      <w:marRight w:val="0"/>
      <w:marTop w:val="0"/>
      <w:marBottom w:val="0"/>
      <w:divBdr>
        <w:top w:val="none" w:sz="0" w:space="0" w:color="auto"/>
        <w:left w:val="none" w:sz="0" w:space="0" w:color="auto"/>
        <w:bottom w:val="none" w:sz="0" w:space="0" w:color="auto"/>
        <w:right w:val="none" w:sz="0" w:space="0" w:color="auto"/>
      </w:divBdr>
    </w:div>
    <w:div w:id="2088960708">
      <w:bodyDiv w:val="1"/>
      <w:marLeft w:val="0"/>
      <w:marRight w:val="0"/>
      <w:marTop w:val="0"/>
      <w:marBottom w:val="0"/>
      <w:divBdr>
        <w:top w:val="none" w:sz="0" w:space="0" w:color="auto"/>
        <w:left w:val="none" w:sz="0" w:space="0" w:color="auto"/>
        <w:bottom w:val="none" w:sz="0" w:space="0" w:color="auto"/>
        <w:right w:val="none" w:sz="0" w:space="0" w:color="auto"/>
      </w:divBdr>
    </w:div>
    <w:div w:id="20940115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elgadoyquintero@gmail.com"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yperlink" Target="mailto:gilberto.quintero.%20garcia@gmail.com" TargetMode="Externa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39FFB7-0091-4E49-B31C-F4B858436C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19</Pages>
  <Words>6615</Words>
  <Characters>36385</Characters>
  <Application>Microsoft Office Word</Application>
  <DocSecurity>0</DocSecurity>
  <Lines>303</Lines>
  <Paragraphs>85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42915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German Infante Alvarez</dc:creator>
  <cp:keywords/>
  <dc:description/>
  <cp:lastModifiedBy>Daniel José Vargas</cp:lastModifiedBy>
  <cp:revision>8</cp:revision>
  <cp:lastPrinted>2021-08-05T18:50:00Z</cp:lastPrinted>
  <dcterms:created xsi:type="dcterms:W3CDTF">2026-05-14T14:55:00Z</dcterms:created>
  <dcterms:modified xsi:type="dcterms:W3CDTF">2026-05-14T15:11:00Z</dcterms:modified>
</cp:coreProperties>
</file>